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0FD81" w14:textId="77777777" w:rsidR="005979D5" w:rsidRDefault="005979D5">
      <w:pPr>
        <w:spacing w:after="0" w:line="360" w:lineRule="auto"/>
        <w:jc w:val="both"/>
        <w:rPr>
          <w:rFonts w:ascii="Times New Roman" w:hAnsi="Times New Roman" w:cs="Times New Roman"/>
          <w:sz w:val="28"/>
          <w:szCs w:val="28"/>
        </w:rPr>
      </w:pPr>
      <w:bookmarkStart w:id="0" w:name="_GoBack"/>
      <w:bookmarkEnd w:id="0"/>
    </w:p>
    <w:p w14:paraId="6DB9FA7A" w14:textId="77777777" w:rsidR="005979D5" w:rsidRDefault="005979D5">
      <w:pPr>
        <w:spacing w:after="0" w:line="360" w:lineRule="auto"/>
        <w:jc w:val="both"/>
        <w:rPr>
          <w:rFonts w:ascii="Times New Roman" w:hAnsi="Times New Roman" w:cs="Times New Roman"/>
          <w:sz w:val="28"/>
          <w:szCs w:val="28"/>
        </w:rPr>
      </w:pPr>
    </w:p>
    <w:p w14:paraId="12CB1881" w14:textId="77777777" w:rsidR="005979D5" w:rsidRDefault="005979D5">
      <w:pPr>
        <w:spacing w:after="0" w:line="360" w:lineRule="auto"/>
        <w:jc w:val="both"/>
        <w:rPr>
          <w:rFonts w:ascii="Times New Roman" w:hAnsi="Times New Roman" w:cs="Times New Roman"/>
          <w:sz w:val="28"/>
          <w:szCs w:val="28"/>
        </w:rPr>
      </w:pPr>
    </w:p>
    <w:p w14:paraId="1477BBD9" w14:textId="77777777" w:rsidR="005979D5" w:rsidRDefault="005979D5">
      <w:pPr>
        <w:spacing w:after="0" w:line="360" w:lineRule="auto"/>
        <w:jc w:val="both"/>
        <w:rPr>
          <w:rFonts w:ascii="Times New Roman" w:hAnsi="Times New Roman" w:cs="Times New Roman"/>
          <w:sz w:val="28"/>
          <w:szCs w:val="28"/>
        </w:rPr>
      </w:pPr>
    </w:p>
    <w:p w14:paraId="506E2309" w14:textId="77777777" w:rsidR="005979D5" w:rsidRDefault="005979D5">
      <w:pPr>
        <w:spacing w:after="0" w:line="360" w:lineRule="auto"/>
        <w:jc w:val="both"/>
        <w:rPr>
          <w:rFonts w:ascii="Times New Roman" w:hAnsi="Times New Roman" w:cs="Times New Roman"/>
          <w:sz w:val="28"/>
          <w:szCs w:val="28"/>
        </w:rPr>
      </w:pPr>
    </w:p>
    <w:p w14:paraId="2C42FABF" w14:textId="77777777" w:rsidR="005979D5" w:rsidRDefault="005979D5">
      <w:pPr>
        <w:spacing w:after="0" w:line="360" w:lineRule="auto"/>
        <w:jc w:val="both"/>
        <w:rPr>
          <w:rFonts w:ascii="Times New Roman" w:hAnsi="Times New Roman" w:cs="Times New Roman"/>
          <w:sz w:val="28"/>
          <w:szCs w:val="28"/>
        </w:rPr>
      </w:pPr>
    </w:p>
    <w:p w14:paraId="209A2923" w14:textId="77777777" w:rsidR="005979D5" w:rsidRDefault="005979D5">
      <w:pPr>
        <w:spacing w:after="0" w:line="360" w:lineRule="auto"/>
        <w:jc w:val="both"/>
        <w:rPr>
          <w:rFonts w:ascii="Times New Roman" w:hAnsi="Times New Roman" w:cs="Times New Roman"/>
          <w:sz w:val="28"/>
          <w:szCs w:val="28"/>
        </w:rPr>
      </w:pPr>
    </w:p>
    <w:p w14:paraId="5528DC96" w14:textId="77777777" w:rsidR="005979D5" w:rsidRDefault="005979D5">
      <w:pPr>
        <w:spacing w:after="0" w:line="360" w:lineRule="auto"/>
        <w:jc w:val="both"/>
        <w:rPr>
          <w:rFonts w:ascii="Times New Roman" w:hAnsi="Times New Roman" w:cs="Times New Roman"/>
          <w:sz w:val="28"/>
          <w:szCs w:val="28"/>
        </w:rPr>
      </w:pPr>
    </w:p>
    <w:p w14:paraId="1BA33B2A" w14:textId="77777777" w:rsidR="005979D5" w:rsidRDefault="005979D5">
      <w:pPr>
        <w:spacing w:after="0" w:line="360" w:lineRule="auto"/>
        <w:jc w:val="both"/>
        <w:rPr>
          <w:rFonts w:ascii="Times New Roman" w:hAnsi="Times New Roman" w:cs="Times New Roman"/>
          <w:sz w:val="28"/>
          <w:szCs w:val="28"/>
        </w:rPr>
      </w:pPr>
    </w:p>
    <w:p w14:paraId="60217779" w14:textId="77777777" w:rsidR="005979D5" w:rsidRDefault="002B4D7C">
      <w:pPr>
        <w:pStyle w:val="ConsPlusTitle"/>
        <w:jc w:val="center"/>
        <w:rPr>
          <w:rFonts w:ascii="Times New Roman" w:hAnsi="Times New Roman" w:cs="Times New Roman"/>
          <w:bCs/>
          <w:sz w:val="28"/>
          <w:szCs w:val="28"/>
        </w:rPr>
      </w:pPr>
      <w:r>
        <w:rPr>
          <w:rFonts w:ascii="Times New Roman" w:hAnsi="Times New Roman" w:cs="Times New Roman"/>
          <w:bCs/>
          <w:sz w:val="28"/>
          <w:szCs w:val="28"/>
        </w:rPr>
        <w:t xml:space="preserve">Об утверждении Методических указаний по расчету вероятности отказа функционального узла и единицы основного технологического оборудования </w:t>
      </w:r>
      <w:r>
        <w:rPr>
          <w:rFonts w:ascii="Times New Roman" w:hAnsi="Times New Roman" w:cs="Times New Roman"/>
          <w:bCs/>
          <w:sz w:val="28"/>
          <w:szCs w:val="28"/>
        </w:rPr>
        <w:br/>
        <w:t>и оценки последствий такого отказа</w:t>
      </w:r>
    </w:p>
    <w:p w14:paraId="7EF14627" w14:textId="77777777" w:rsidR="005979D5" w:rsidRDefault="005979D5">
      <w:pPr>
        <w:spacing w:after="0" w:line="360" w:lineRule="auto"/>
        <w:jc w:val="both"/>
        <w:rPr>
          <w:rFonts w:ascii="Times New Roman" w:hAnsi="Times New Roman" w:cs="Times New Roman"/>
          <w:sz w:val="28"/>
          <w:szCs w:val="28"/>
        </w:rPr>
      </w:pPr>
    </w:p>
    <w:p w14:paraId="091D4746" w14:textId="77777777" w:rsidR="005979D5" w:rsidRDefault="005979D5">
      <w:pPr>
        <w:spacing w:after="0" w:line="360" w:lineRule="auto"/>
        <w:jc w:val="both"/>
        <w:rPr>
          <w:rFonts w:ascii="Times New Roman" w:hAnsi="Times New Roman" w:cs="Times New Roman"/>
          <w:sz w:val="28"/>
          <w:szCs w:val="28"/>
        </w:rPr>
      </w:pPr>
    </w:p>
    <w:p w14:paraId="4343FAB5" w14:textId="77777777" w:rsidR="005979D5" w:rsidRDefault="002B4D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совершенствования требований к обеспечению надежности </w:t>
      </w:r>
      <w:r>
        <w:rPr>
          <w:rFonts w:ascii="Times New Roman" w:hAnsi="Times New Roman" w:cs="Times New Roman"/>
          <w:sz w:val="28"/>
          <w:szCs w:val="28"/>
        </w:rPr>
        <w:br/>
        <w:t xml:space="preserve">и безопасности электроэнергетических систем и объектов электроэнергетики, </w:t>
      </w:r>
      <w:r>
        <w:rPr>
          <w:rFonts w:ascii="Times New Roman" w:hAnsi="Times New Roman" w:cs="Times New Roman"/>
          <w:sz w:val="28"/>
          <w:szCs w:val="28"/>
        </w:rPr>
        <w:br/>
        <w:t xml:space="preserve">в соответствии с абзацем четвертым пункта 2 статьи 21 и абзацами первым </w:t>
      </w:r>
      <w:r>
        <w:rPr>
          <w:rFonts w:ascii="Times New Roman" w:hAnsi="Times New Roman" w:cs="Times New Roman"/>
          <w:sz w:val="28"/>
          <w:szCs w:val="28"/>
        </w:rPr>
        <w:br/>
        <w:t xml:space="preserve">и третьим пункта 2 статьи 28 Федерального закона от 26 марта 2003 г. </w:t>
      </w:r>
      <w:r>
        <w:rPr>
          <w:rFonts w:ascii="Times New Roman" w:hAnsi="Times New Roman" w:cs="Times New Roman"/>
          <w:sz w:val="28"/>
          <w:szCs w:val="28"/>
        </w:rPr>
        <w:br/>
        <w:t xml:space="preserve">№ 35-ФЗ «Об электроэнергетике», абзацами вторым и третьим подпункта «б» </w:t>
      </w:r>
      <w:r>
        <w:rPr>
          <w:rFonts w:ascii="Times New Roman" w:hAnsi="Times New Roman" w:cs="Times New Roman"/>
          <w:sz w:val="28"/>
          <w:szCs w:val="28"/>
        </w:rPr>
        <w:br/>
        <w:t xml:space="preserve">пункта 1 постановления Правительства Российской Федерации от 2 марта 2017 г. </w:t>
      </w:r>
      <w:r>
        <w:rPr>
          <w:rFonts w:ascii="Times New Roman" w:hAnsi="Times New Roman" w:cs="Times New Roman"/>
          <w:sz w:val="28"/>
          <w:szCs w:val="28"/>
        </w:rPr>
        <w:br/>
        <w:t xml:space="preserve">№ 244 «О совершенствовании требований к обеспечению надежности </w:t>
      </w:r>
      <w:r>
        <w:rPr>
          <w:rFonts w:ascii="Times New Roman" w:hAnsi="Times New Roman" w:cs="Times New Roman"/>
          <w:sz w:val="28"/>
          <w:szCs w:val="28"/>
        </w:rPr>
        <w:br/>
        <w:t xml:space="preserve">и безопасности электроэнергетических систем и объектов электроэнергетики </w:t>
      </w:r>
      <w:r>
        <w:rPr>
          <w:rFonts w:ascii="Times New Roman" w:hAnsi="Times New Roman" w:cs="Times New Roman"/>
          <w:sz w:val="28"/>
          <w:szCs w:val="28"/>
        </w:rPr>
        <w:br/>
        <w:t>и внесении изменений в некоторые акты Правительства Российской Федерации», подпунктом 4.2.14</w:t>
      </w:r>
      <w:r>
        <w:rPr>
          <w:rFonts w:ascii="Times New Roman" w:hAnsi="Times New Roman" w:cs="Times New Roman"/>
          <w:sz w:val="28"/>
          <w:szCs w:val="28"/>
          <w:vertAlign w:val="superscript"/>
        </w:rPr>
        <w:t xml:space="preserve">21 </w:t>
      </w:r>
      <w:r>
        <w:rPr>
          <w:rFonts w:ascii="Times New Roman" w:hAnsi="Times New Roman" w:cs="Times New Roman"/>
          <w:sz w:val="28"/>
          <w:szCs w:val="28"/>
        </w:rPr>
        <w:t xml:space="preserve">пункта 4 Положения о Министерстве энергетики </w:t>
      </w:r>
      <w:r>
        <w:rPr>
          <w:rFonts w:ascii="Times New Roman" w:hAnsi="Times New Roman" w:cs="Times New Roman"/>
          <w:sz w:val="28"/>
          <w:szCs w:val="28"/>
        </w:rPr>
        <w:br/>
        <w:t xml:space="preserve">Российской Федерации, утвержденного постановлением Правительства </w:t>
      </w:r>
      <w:r>
        <w:rPr>
          <w:rFonts w:ascii="Times New Roman" w:hAnsi="Times New Roman" w:cs="Times New Roman"/>
          <w:sz w:val="28"/>
          <w:szCs w:val="28"/>
        </w:rPr>
        <w:br/>
        <w:t xml:space="preserve">Российской Федерации от 28 мая 2008 г. № 400, и в связи с внесением </w:t>
      </w:r>
      <w:r>
        <w:rPr>
          <w:rFonts w:ascii="Times New Roman" w:hAnsi="Times New Roman" w:cs="Times New Roman"/>
          <w:sz w:val="28"/>
          <w:szCs w:val="28"/>
        </w:rPr>
        <w:br/>
        <w:t xml:space="preserve">постановлением Правительства Российской Федерации от 30 мая 2023 г. </w:t>
      </w:r>
      <w:r>
        <w:rPr>
          <w:rFonts w:ascii="Times New Roman" w:hAnsi="Times New Roman" w:cs="Times New Roman"/>
          <w:sz w:val="28"/>
          <w:szCs w:val="28"/>
        </w:rPr>
        <w:br/>
        <w:t xml:space="preserve">№ 878 «О внесении изменений в методику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w:t>
      </w:r>
      <w:r>
        <w:rPr>
          <w:rFonts w:ascii="Times New Roman" w:hAnsi="Times New Roman" w:cs="Times New Roman"/>
          <w:sz w:val="28"/>
          <w:szCs w:val="28"/>
        </w:rPr>
        <w:lastRenderedPageBreak/>
        <w:t>электросетевого хозяйства»</w:t>
      </w:r>
      <w:r>
        <w:rPr>
          <w:rFonts w:ascii="Times New Roman" w:hAnsi="Times New Roman" w:cs="Times New Roman"/>
        </w:rPr>
        <w:t xml:space="preserve"> </w:t>
      </w:r>
      <w:r>
        <w:rPr>
          <w:rFonts w:ascii="Times New Roman" w:hAnsi="Times New Roman" w:cs="Times New Roman"/>
          <w:sz w:val="28"/>
          <w:szCs w:val="28"/>
        </w:rPr>
        <w:t>изменений</w:t>
      </w:r>
      <w:r>
        <w:rPr>
          <w:rFonts w:ascii="Times New Roman" w:hAnsi="Times New Roman" w:cs="Times New Roman"/>
        </w:rPr>
        <w:t xml:space="preserve"> </w:t>
      </w:r>
      <w:r>
        <w:rPr>
          <w:rFonts w:ascii="Times New Roman" w:hAnsi="Times New Roman" w:cs="Times New Roman"/>
          <w:sz w:val="28"/>
          <w:szCs w:val="28"/>
        </w:rPr>
        <w:t>в методику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утвержденную постановлением Правительства Российской Федерации от 19 декабря 2016 г. № 1401,  п р и к а з ы в а ю:</w:t>
      </w:r>
    </w:p>
    <w:p w14:paraId="21F5C706" w14:textId="77777777" w:rsidR="005979D5" w:rsidRDefault="002B4D7C">
      <w:pPr>
        <w:numPr>
          <w:ilvl w:val="0"/>
          <w:numId w:val="1"/>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Утвердить Методические указания по расчету вероятности отказа функционального узла и единицы основного технологического оборудования </w:t>
      </w:r>
      <w:r>
        <w:rPr>
          <w:rFonts w:ascii="Times New Roman" w:eastAsia="Calibri" w:hAnsi="Times New Roman" w:cs="Times New Roman"/>
          <w:sz w:val="28"/>
          <w:szCs w:val="28"/>
        </w:rPr>
        <w:br/>
        <w:t>и оценки последствий такого отказа.</w:t>
      </w:r>
    </w:p>
    <w:p w14:paraId="6CE0FFC7" w14:textId="77777777" w:rsidR="005979D5" w:rsidRDefault="002B4D7C">
      <w:pPr>
        <w:numPr>
          <w:ilvl w:val="0"/>
          <w:numId w:val="1"/>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Признать утратившим силу приказ Минэнерго России </w:t>
      </w:r>
      <w:r>
        <w:rPr>
          <w:rFonts w:ascii="Times New Roman" w:eastAsia="Calibri" w:hAnsi="Times New Roman" w:cs="Times New Roman"/>
          <w:sz w:val="28"/>
          <w:szCs w:val="28"/>
        </w:rPr>
        <w:br/>
        <w:t xml:space="preserve">от 19 февраля 2019 г. № 123 «Об утверждении методических указаний </w:t>
      </w:r>
      <w:r>
        <w:rPr>
          <w:rFonts w:ascii="Times New Roman" w:eastAsia="Calibri" w:hAnsi="Times New Roman" w:cs="Times New Roman"/>
          <w:sz w:val="28"/>
          <w:szCs w:val="28"/>
        </w:rPr>
        <w:br/>
        <w:t>по расчету вероятности отказа функционального узла и единицы основного технологического оборудования и оценки последствий такого отказа»</w:t>
      </w:r>
      <w:r>
        <w:rPr>
          <w:rStyle w:val="FootnoteReference"/>
          <w:rFonts w:ascii="Times New Roman" w:eastAsia="Calibri" w:hAnsi="Times New Roman" w:cs="Times New Roman"/>
          <w:sz w:val="28"/>
          <w:szCs w:val="28"/>
        </w:rPr>
        <w:t xml:space="preserve"> </w:t>
      </w:r>
      <w:r>
        <w:rPr>
          <w:rStyle w:val="FootnoteReference"/>
          <w:rFonts w:ascii="Times New Roman" w:eastAsia="Calibri" w:hAnsi="Times New Roman" w:cs="Times New Roman"/>
          <w:sz w:val="28"/>
          <w:szCs w:val="28"/>
        </w:rPr>
        <w:footnoteReference w:id="1"/>
      </w:r>
      <w:r>
        <w:rPr>
          <w:rFonts w:ascii="Times New Roman" w:eastAsia="Calibri" w:hAnsi="Times New Roman" w:cs="Times New Roman"/>
          <w:sz w:val="28"/>
          <w:szCs w:val="28"/>
        </w:rPr>
        <w:t>.</w:t>
      </w:r>
    </w:p>
    <w:p w14:paraId="085F1F6F" w14:textId="67A640C2" w:rsidR="005979D5" w:rsidRDefault="002B4D7C" w:rsidP="00FB40A2">
      <w:pPr>
        <w:numPr>
          <w:ilvl w:val="0"/>
          <w:numId w:val="1"/>
        </w:numPr>
        <w:spacing w:after="0" w:line="360" w:lineRule="auto"/>
        <w:ind w:left="0" w:firstLine="709"/>
        <w:jc w:val="both"/>
        <w:rPr>
          <w:rFonts w:ascii="Times New Roman" w:hAnsi="Times New Roman" w:cs="Times New Roman"/>
          <w:sz w:val="28"/>
          <w:szCs w:val="28"/>
        </w:rPr>
      </w:pPr>
      <w:r>
        <w:rPr>
          <w:rFonts w:ascii="Times New Roman" w:eastAsia="SimSun" w:hAnsi="Times New Roman" w:cs="Times New Roman"/>
          <w:sz w:val="28"/>
          <w:szCs w:val="28"/>
          <w:lang w:eastAsia="ru-RU"/>
        </w:rPr>
        <w:t xml:space="preserve">Настоящий приказ вступает в силу по истечении трех месяцев </w:t>
      </w:r>
      <w:r>
        <w:rPr>
          <w:rFonts w:ascii="Times New Roman" w:eastAsia="SimSun" w:hAnsi="Times New Roman" w:cs="Times New Roman"/>
          <w:sz w:val="28"/>
          <w:szCs w:val="28"/>
          <w:lang w:eastAsia="ru-RU"/>
        </w:rPr>
        <w:br/>
        <w:t>со дня его официального опубликования</w:t>
      </w:r>
      <w:r>
        <w:rPr>
          <w:rFonts w:ascii="Times New Roman" w:hAnsi="Times New Roman" w:cs="Times New Roman"/>
          <w:sz w:val="28"/>
          <w:szCs w:val="28"/>
        </w:rPr>
        <w:t>.</w:t>
      </w:r>
    </w:p>
    <w:p w14:paraId="4445A0AB" w14:textId="77777777" w:rsidR="005979D5" w:rsidRDefault="005979D5">
      <w:pPr>
        <w:spacing w:after="0" w:line="240" w:lineRule="auto"/>
        <w:ind w:firstLine="709"/>
        <w:jc w:val="both"/>
        <w:rPr>
          <w:rFonts w:ascii="Times New Roman" w:hAnsi="Times New Roman" w:cs="Times New Roman"/>
          <w:sz w:val="28"/>
          <w:szCs w:val="28"/>
        </w:rPr>
      </w:pPr>
    </w:p>
    <w:p w14:paraId="3E319491" w14:textId="77777777" w:rsidR="005979D5" w:rsidRDefault="005979D5">
      <w:pPr>
        <w:spacing w:after="0" w:line="240" w:lineRule="auto"/>
        <w:ind w:firstLine="709"/>
        <w:jc w:val="both"/>
        <w:rPr>
          <w:rFonts w:ascii="Times New Roman" w:hAnsi="Times New Roman" w:cs="Times New Roman"/>
          <w:sz w:val="28"/>
          <w:szCs w:val="28"/>
        </w:rPr>
      </w:pPr>
    </w:p>
    <w:tbl>
      <w:tblPr>
        <w:tblW w:w="10206" w:type="dxa"/>
        <w:tblCellMar>
          <w:left w:w="0" w:type="dxa"/>
          <w:right w:w="0" w:type="dxa"/>
        </w:tblCellMar>
        <w:tblLook w:val="04A0" w:firstRow="1" w:lastRow="0" w:firstColumn="1" w:lastColumn="0" w:noHBand="0" w:noVBand="1"/>
      </w:tblPr>
      <w:tblGrid>
        <w:gridCol w:w="3771"/>
        <w:gridCol w:w="3011"/>
        <w:gridCol w:w="3424"/>
      </w:tblGrid>
      <w:tr w:rsidR="005979D5" w14:paraId="484867F7" w14:textId="77777777">
        <w:trPr>
          <w:trHeight w:val="135"/>
        </w:trPr>
        <w:tc>
          <w:tcPr>
            <w:tcW w:w="3771" w:type="dxa"/>
            <w:shd w:val="clear" w:color="auto" w:fill="auto"/>
            <w:vAlign w:val="bottom"/>
          </w:tcPr>
          <w:p w14:paraId="0F1D4D5B" w14:textId="77777777" w:rsidR="005979D5" w:rsidRDefault="002B4D7C">
            <w:pPr>
              <w:pStyle w:val="Footer"/>
              <w:rPr>
                <w:rFonts w:ascii="Times New Roman" w:hAnsi="Times New Roman"/>
                <w:sz w:val="28"/>
                <w:szCs w:val="28"/>
              </w:rPr>
            </w:pPr>
            <w:bookmarkStart w:id="1" w:name="Подписал_должность"/>
            <w:bookmarkEnd w:id="1"/>
            <w:r>
              <w:rPr>
                <w:rFonts w:ascii="Times New Roman" w:hAnsi="Times New Roman"/>
                <w:sz w:val="28"/>
                <w:szCs w:val="28"/>
                <w:lang w:val="en-US"/>
              </w:rPr>
              <w:t>Министр</w:t>
            </w:r>
          </w:p>
        </w:tc>
        <w:tc>
          <w:tcPr>
            <w:tcW w:w="3011" w:type="dxa"/>
            <w:shd w:val="clear" w:color="auto" w:fill="auto"/>
          </w:tcPr>
          <w:p w14:paraId="722D44E4" w14:textId="77777777" w:rsidR="005979D5" w:rsidRDefault="005979D5">
            <w:pPr>
              <w:pStyle w:val="Footer"/>
              <w:rPr>
                <w:rFonts w:ascii="Times New Roman" w:hAnsi="Times New Roman"/>
                <w:sz w:val="28"/>
                <w:szCs w:val="28"/>
              </w:rPr>
            </w:pPr>
          </w:p>
        </w:tc>
        <w:tc>
          <w:tcPr>
            <w:tcW w:w="3424" w:type="dxa"/>
            <w:shd w:val="clear" w:color="auto" w:fill="auto"/>
            <w:vAlign w:val="bottom"/>
          </w:tcPr>
          <w:p w14:paraId="4DB8DECE" w14:textId="77777777" w:rsidR="005979D5" w:rsidRDefault="002B4D7C">
            <w:pPr>
              <w:pStyle w:val="Footer"/>
              <w:jc w:val="right"/>
              <w:rPr>
                <w:rFonts w:ascii="Times New Roman" w:hAnsi="Times New Roman"/>
                <w:sz w:val="28"/>
                <w:szCs w:val="28"/>
              </w:rPr>
            </w:pPr>
            <w:r>
              <w:rPr>
                <w:rFonts w:ascii="Times New Roman" w:hAnsi="Times New Roman"/>
                <w:sz w:val="28"/>
                <w:szCs w:val="28"/>
              </w:rPr>
              <w:t>С.Е. Цивилев</w:t>
            </w:r>
          </w:p>
        </w:tc>
      </w:tr>
      <w:tr w:rsidR="005979D5" w14:paraId="08A8ECB3" w14:textId="77777777">
        <w:trPr>
          <w:trHeight w:val="135"/>
        </w:trPr>
        <w:tc>
          <w:tcPr>
            <w:tcW w:w="3771" w:type="dxa"/>
            <w:shd w:val="clear" w:color="auto" w:fill="auto"/>
          </w:tcPr>
          <w:p w14:paraId="1CC9547C" w14:textId="77777777" w:rsidR="005979D5" w:rsidRDefault="005979D5">
            <w:pPr>
              <w:pStyle w:val="Footer"/>
              <w:rPr>
                <w:rFonts w:ascii="Times New Roman" w:hAnsi="Times New Roman"/>
                <w:sz w:val="16"/>
                <w:szCs w:val="16"/>
              </w:rPr>
            </w:pPr>
          </w:p>
          <w:p w14:paraId="72BAE625" w14:textId="77777777" w:rsidR="005979D5" w:rsidRDefault="005979D5">
            <w:pPr>
              <w:pStyle w:val="Footer"/>
              <w:rPr>
                <w:rFonts w:ascii="Times New Roman" w:hAnsi="Times New Roman"/>
                <w:sz w:val="16"/>
                <w:szCs w:val="16"/>
              </w:rPr>
            </w:pPr>
          </w:p>
          <w:p w14:paraId="071C1620" w14:textId="77777777" w:rsidR="005979D5" w:rsidRDefault="005979D5">
            <w:pPr>
              <w:pStyle w:val="Footer"/>
              <w:rPr>
                <w:rFonts w:ascii="Times New Roman" w:hAnsi="Times New Roman"/>
                <w:sz w:val="16"/>
                <w:szCs w:val="16"/>
              </w:rPr>
            </w:pPr>
          </w:p>
          <w:p w14:paraId="5B8986B1" w14:textId="77777777" w:rsidR="005979D5" w:rsidRDefault="005979D5">
            <w:pPr>
              <w:pStyle w:val="Footer"/>
              <w:rPr>
                <w:rFonts w:ascii="Times New Roman" w:hAnsi="Times New Roman"/>
                <w:sz w:val="16"/>
                <w:szCs w:val="16"/>
              </w:rPr>
            </w:pPr>
          </w:p>
          <w:p w14:paraId="46010F90" w14:textId="77777777" w:rsidR="005979D5" w:rsidRDefault="005979D5">
            <w:pPr>
              <w:pStyle w:val="Footer"/>
              <w:rPr>
                <w:rFonts w:ascii="Times New Roman" w:hAnsi="Times New Roman"/>
                <w:sz w:val="16"/>
                <w:szCs w:val="16"/>
              </w:rPr>
            </w:pPr>
          </w:p>
          <w:p w14:paraId="31BEEA4B" w14:textId="77777777" w:rsidR="005979D5" w:rsidRDefault="005979D5">
            <w:pPr>
              <w:pStyle w:val="Footer"/>
              <w:rPr>
                <w:rFonts w:ascii="Times New Roman" w:hAnsi="Times New Roman"/>
                <w:sz w:val="16"/>
                <w:szCs w:val="16"/>
              </w:rPr>
            </w:pPr>
          </w:p>
          <w:p w14:paraId="042F1711" w14:textId="77777777" w:rsidR="005979D5" w:rsidRDefault="005979D5">
            <w:pPr>
              <w:pStyle w:val="Footer"/>
              <w:rPr>
                <w:rFonts w:ascii="Times New Roman" w:hAnsi="Times New Roman"/>
                <w:sz w:val="16"/>
                <w:szCs w:val="16"/>
              </w:rPr>
            </w:pPr>
          </w:p>
          <w:p w14:paraId="1D949629" w14:textId="77777777" w:rsidR="005979D5" w:rsidRDefault="005979D5">
            <w:pPr>
              <w:pStyle w:val="Footer"/>
              <w:rPr>
                <w:rFonts w:ascii="Times New Roman" w:hAnsi="Times New Roman"/>
                <w:sz w:val="16"/>
                <w:szCs w:val="16"/>
              </w:rPr>
            </w:pPr>
          </w:p>
        </w:tc>
        <w:tc>
          <w:tcPr>
            <w:tcW w:w="3011" w:type="dxa"/>
            <w:shd w:val="clear" w:color="auto" w:fill="auto"/>
          </w:tcPr>
          <w:p w14:paraId="68515219" w14:textId="77777777" w:rsidR="005979D5" w:rsidRDefault="005979D5">
            <w:pPr>
              <w:pStyle w:val="Footer"/>
              <w:rPr>
                <w:rFonts w:ascii="Times New Roman" w:hAnsi="Times New Roman"/>
                <w:sz w:val="16"/>
                <w:szCs w:val="16"/>
              </w:rPr>
            </w:pPr>
          </w:p>
        </w:tc>
        <w:tc>
          <w:tcPr>
            <w:tcW w:w="3424" w:type="dxa"/>
            <w:shd w:val="clear" w:color="auto" w:fill="auto"/>
          </w:tcPr>
          <w:p w14:paraId="12C7738F" w14:textId="77777777" w:rsidR="005979D5" w:rsidRDefault="005979D5">
            <w:pPr>
              <w:pStyle w:val="Footer"/>
              <w:rPr>
                <w:rFonts w:ascii="Times New Roman" w:hAnsi="Times New Roman"/>
                <w:sz w:val="16"/>
                <w:szCs w:val="16"/>
              </w:rPr>
            </w:pPr>
          </w:p>
        </w:tc>
      </w:tr>
    </w:tbl>
    <w:p w14:paraId="538D47E6" w14:textId="1E3BC74F" w:rsidR="005979D5" w:rsidRDefault="005979D5">
      <w:pPr>
        <w:spacing w:after="0" w:line="360" w:lineRule="auto"/>
        <w:jc w:val="both"/>
        <w:rPr>
          <w:rFonts w:ascii="Times New Roman" w:hAnsi="Times New Roman" w:cs="Times New Roman"/>
          <w:sz w:val="28"/>
          <w:szCs w:val="28"/>
        </w:rPr>
      </w:pPr>
    </w:p>
    <w:p w14:paraId="7659D493" w14:textId="0A33CBAD" w:rsidR="00FB40A2" w:rsidRDefault="00FB40A2">
      <w:pPr>
        <w:spacing w:after="0" w:line="360" w:lineRule="auto"/>
        <w:jc w:val="both"/>
        <w:rPr>
          <w:rFonts w:ascii="Times New Roman" w:hAnsi="Times New Roman" w:cs="Times New Roman"/>
          <w:sz w:val="28"/>
          <w:szCs w:val="28"/>
        </w:rPr>
      </w:pPr>
    </w:p>
    <w:p w14:paraId="00196C24" w14:textId="52879088" w:rsidR="00FB40A2" w:rsidRDefault="00FB40A2">
      <w:pPr>
        <w:spacing w:after="0" w:line="360" w:lineRule="auto"/>
        <w:jc w:val="both"/>
        <w:rPr>
          <w:rFonts w:ascii="Times New Roman" w:hAnsi="Times New Roman" w:cs="Times New Roman"/>
          <w:sz w:val="28"/>
          <w:szCs w:val="28"/>
        </w:rPr>
      </w:pPr>
    </w:p>
    <w:p w14:paraId="35C08B05" w14:textId="7EC13B38" w:rsidR="00FB40A2" w:rsidRDefault="00FB40A2">
      <w:pPr>
        <w:spacing w:after="0" w:line="360" w:lineRule="auto"/>
        <w:jc w:val="both"/>
        <w:rPr>
          <w:rFonts w:ascii="Times New Roman" w:hAnsi="Times New Roman" w:cs="Times New Roman"/>
          <w:sz w:val="28"/>
          <w:szCs w:val="28"/>
        </w:rPr>
      </w:pPr>
    </w:p>
    <w:p w14:paraId="5609D006" w14:textId="030503CF" w:rsidR="00FB40A2" w:rsidRDefault="00FB40A2">
      <w:pPr>
        <w:spacing w:after="0" w:line="360" w:lineRule="auto"/>
        <w:jc w:val="both"/>
        <w:rPr>
          <w:rFonts w:ascii="Times New Roman" w:hAnsi="Times New Roman" w:cs="Times New Roman"/>
          <w:sz w:val="28"/>
          <w:szCs w:val="28"/>
        </w:rPr>
      </w:pPr>
    </w:p>
    <w:p w14:paraId="726FCDB9" w14:textId="61E7A4DF" w:rsidR="00FB40A2" w:rsidRDefault="00FB40A2">
      <w:pPr>
        <w:spacing w:after="0" w:line="360" w:lineRule="auto"/>
        <w:jc w:val="both"/>
        <w:rPr>
          <w:rFonts w:ascii="Times New Roman" w:hAnsi="Times New Roman" w:cs="Times New Roman"/>
          <w:sz w:val="28"/>
          <w:szCs w:val="28"/>
        </w:rPr>
      </w:pPr>
    </w:p>
    <w:p w14:paraId="0EACFCAB" w14:textId="452388C8" w:rsidR="00FB40A2" w:rsidRDefault="00FB40A2">
      <w:pPr>
        <w:spacing w:after="0" w:line="360" w:lineRule="auto"/>
        <w:jc w:val="both"/>
        <w:rPr>
          <w:rFonts w:ascii="Times New Roman" w:hAnsi="Times New Roman" w:cs="Times New Roman"/>
          <w:sz w:val="28"/>
          <w:szCs w:val="28"/>
        </w:rPr>
      </w:pPr>
    </w:p>
    <w:p w14:paraId="7F433133" w14:textId="77777777" w:rsidR="00FB40A2" w:rsidRDefault="00FB40A2">
      <w:pPr>
        <w:spacing w:after="0" w:line="360" w:lineRule="auto"/>
        <w:jc w:val="both"/>
        <w:rPr>
          <w:rFonts w:ascii="Times New Roman" w:hAnsi="Times New Roman" w:cs="Times New Roman"/>
          <w:sz w:val="28"/>
          <w:szCs w:val="28"/>
        </w:rPr>
      </w:pPr>
    </w:p>
    <w:p w14:paraId="6E0C1739" w14:textId="77777777" w:rsidR="005979D5" w:rsidRDefault="002B4D7C">
      <w:pPr>
        <w:spacing w:after="0" w:line="240" w:lineRule="auto"/>
        <w:rPr>
          <w:rFonts w:ascii="Times New Roman" w:hAnsi="Times New Roman"/>
          <w:sz w:val="16"/>
          <w:szCs w:val="16"/>
        </w:rPr>
      </w:pPr>
      <w:bookmarkStart w:id="2" w:name="Исполнитель_подразделение"/>
      <w:bookmarkEnd w:id="2"/>
      <w:r>
        <w:rPr>
          <w:rFonts w:ascii="Times New Roman" w:hAnsi="Times New Roman"/>
          <w:sz w:val="16"/>
          <w:szCs w:val="16"/>
        </w:rPr>
        <w:t>Департамент оперативного управления в ТЭК</w:t>
      </w:r>
    </w:p>
    <w:p w14:paraId="60E3C949" w14:textId="77777777" w:rsidR="005979D5" w:rsidRDefault="002B4D7C">
      <w:pPr>
        <w:spacing w:after="0" w:line="240" w:lineRule="auto"/>
        <w:rPr>
          <w:rFonts w:ascii="Times New Roman" w:hAnsi="Times New Roman"/>
          <w:sz w:val="16"/>
          <w:szCs w:val="16"/>
        </w:rPr>
      </w:pPr>
      <w:r>
        <w:rPr>
          <w:rFonts w:ascii="Times New Roman" w:hAnsi="Times New Roman"/>
          <w:sz w:val="16"/>
          <w:szCs w:val="16"/>
        </w:rPr>
        <w:t>Трушин Сергей Григорьевич</w:t>
      </w:r>
    </w:p>
    <w:p w14:paraId="1DADDECC" w14:textId="77777777" w:rsidR="005979D5" w:rsidRDefault="002B4D7C">
      <w:pPr>
        <w:widowControl w:val="0"/>
        <w:spacing w:after="0" w:line="240" w:lineRule="auto"/>
        <w:rPr>
          <w:rFonts w:ascii="Times New Roman" w:hAnsi="Times New Roman"/>
          <w:sz w:val="16"/>
          <w:szCs w:val="16"/>
        </w:rPr>
      </w:pPr>
      <w:r>
        <w:rPr>
          <w:rFonts w:ascii="Times New Roman" w:hAnsi="Times New Roman"/>
          <w:sz w:val="16"/>
          <w:szCs w:val="16"/>
        </w:rPr>
        <w:t>(495) 631-85-59</w:t>
      </w:r>
    </w:p>
    <w:p w14:paraId="073570DA" w14:textId="77777777" w:rsidR="005979D5" w:rsidRDefault="005979D5">
      <w:pPr>
        <w:widowControl w:val="0"/>
        <w:spacing w:after="0" w:line="240" w:lineRule="auto"/>
        <w:rPr>
          <w:rFonts w:ascii="Times New Roman" w:hAnsi="Times New Roman"/>
          <w:sz w:val="16"/>
          <w:szCs w:val="16"/>
        </w:rPr>
        <w:sectPr w:rsidR="005979D5">
          <w:headerReference w:type="default" r:id="rId9"/>
          <w:footerReference w:type="default" r:id="rId10"/>
          <w:pgSz w:w="11906" w:h="16838"/>
          <w:pgMar w:top="1134" w:right="567" w:bottom="1418" w:left="1134" w:header="567" w:footer="397" w:gutter="0"/>
          <w:cols w:space="708"/>
          <w:titlePg/>
          <w:docGrid w:linePitch="360"/>
        </w:sectPr>
      </w:pPr>
    </w:p>
    <w:p w14:paraId="28371F02" w14:textId="77777777" w:rsidR="005979D5" w:rsidRDefault="002B4D7C">
      <w:pPr>
        <w:spacing w:after="0" w:line="240" w:lineRule="auto"/>
        <w:ind w:left="6237"/>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УТВЕРЖДЕНЫ</w:t>
      </w:r>
    </w:p>
    <w:p w14:paraId="65AD51F6" w14:textId="77777777" w:rsidR="005979D5" w:rsidRDefault="002B4D7C">
      <w:pPr>
        <w:spacing w:after="0" w:line="240" w:lineRule="auto"/>
        <w:ind w:left="6237"/>
        <w:jc w:val="center"/>
        <w:rPr>
          <w:rFonts w:ascii="Times New Roman" w:eastAsia="Calibri" w:hAnsi="Times New Roman" w:cs="Times New Roman"/>
          <w:sz w:val="28"/>
          <w:szCs w:val="28"/>
        </w:rPr>
      </w:pPr>
      <w:r>
        <w:rPr>
          <w:rFonts w:ascii="Times New Roman" w:eastAsia="Calibri" w:hAnsi="Times New Roman" w:cs="Times New Roman"/>
          <w:sz w:val="28"/>
          <w:szCs w:val="28"/>
        </w:rPr>
        <w:t>приказом Минэнерго России</w:t>
      </w:r>
    </w:p>
    <w:p w14:paraId="452E3A16" w14:textId="77777777" w:rsidR="005979D5" w:rsidRDefault="002B4D7C">
      <w:pPr>
        <w:spacing w:after="0" w:line="240" w:lineRule="auto"/>
        <w:ind w:left="6237"/>
        <w:jc w:val="center"/>
        <w:rPr>
          <w:rFonts w:ascii="Times New Roman" w:eastAsia="Calibri" w:hAnsi="Times New Roman" w:cs="Times New Roman"/>
          <w:sz w:val="28"/>
          <w:szCs w:val="28"/>
        </w:rPr>
      </w:pPr>
      <w:r>
        <w:rPr>
          <w:rFonts w:ascii="Times New Roman" w:eastAsia="Calibri" w:hAnsi="Times New Roman" w:cs="Times New Roman"/>
          <w:sz w:val="28"/>
          <w:szCs w:val="28"/>
        </w:rPr>
        <w:t>от «___» _______ 2025 г. №__</w:t>
      </w:r>
    </w:p>
    <w:p w14:paraId="1977312A" w14:textId="77777777" w:rsidR="005979D5" w:rsidRDefault="005979D5">
      <w:pPr>
        <w:pStyle w:val="ConsPlusTitle"/>
        <w:spacing w:line="360" w:lineRule="auto"/>
        <w:contextualSpacing/>
        <w:rPr>
          <w:rFonts w:ascii="Times New Roman" w:hAnsi="Times New Roman" w:cs="Times New Roman"/>
          <w:sz w:val="28"/>
          <w:szCs w:val="28"/>
        </w:rPr>
      </w:pPr>
    </w:p>
    <w:p w14:paraId="0CA5E390" w14:textId="77777777" w:rsidR="005979D5" w:rsidRDefault="005979D5">
      <w:pPr>
        <w:pStyle w:val="ConsPlusTitle"/>
        <w:spacing w:line="360" w:lineRule="auto"/>
        <w:contextualSpacing/>
        <w:rPr>
          <w:rFonts w:ascii="Times New Roman" w:hAnsi="Times New Roman" w:cs="Times New Roman"/>
          <w:sz w:val="28"/>
          <w:szCs w:val="28"/>
        </w:rPr>
      </w:pPr>
    </w:p>
    <w:p w14:paraId="5317D3D8" w14:textId="77777777" w:rsidR="005979D5" w:rsidRDefault="002B4D7C">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 xml:space="preserve">МЕТОДИЧЕСКИЕ УКАЗАНИЯ </w:t>
      </w:r>
    </w:p>
    <w:p w14:paraId="5426D8B7" w14:textId="77777777" w:rsidR="005979D5" w:rsidRDefault="002B4D7C">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по расчету вероятности отказа функционального узла и единицы основного технологического оборудования и оценки последствий такого отказа</w:t>
      </w:r>
    </w:p>
    <w:p w14:paraId="7154B6C0" w14:textId="77777777" w:rsidR="005979D5" w:rsidRDefault="005979D5">
      <w:pPr>
        <w:pStyle w:val="ConsPlusTitle"/>
        <w:spacing w:line="360" w:lineRule="auto"/>
        <w:contextualSpacing/>
        <w:jc w:val="both"/>
        <w:rPr>
          <w:rFonts w:ascii="Times New Roman" w:hAnsi="Times New Roman" w:cs="Times New Roman"/>
          <w:sz w:val="28"/>
          <w:szCs w:val="28"/>
        </w:rPr>
      </w:pPr>
    </w:p>
    <w:p w14:paraId="59F3CE86" w14:textId="77777777" w:rsidR="005979D5" w:rsidRDefault="002B4D7C">
      <w:pPr>
        <w:pStyle w:val="ConsPlusTitle"/>
        <w:spacing w:line="360" w:lineRule="auto"/>
        <w:contextualSpacing/>
        <w:jc w:val="center"/>
        <w:outlineLvl w:val="0"/>
        <w:rPr>
          <w:rFonts w:ascii="Times New Roman" w:hAnsi="Times New Roman" w:cs="Times New Roman"/>
          <w:sz w:val="28"/>
          <w:szCs w:val="28"/>
        </w:rPr>
      </w:pPr>
      <w:r>
        <w:rPr>
          <w:rFonts w:ascii="Times New Roman" w:hAnsi="Times New Roman" w:cs="Times New Roman"/>
          <w:sz w:val="28"/>
          <w:szCs w:val="28"/>
        </w:rPr>
        <w:t>I. Общие положения</w:t>
      </w:r>
    </w:p>
    <w:p w14:paraId="7946BE5F"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указания по расчету вероятности отказа функционального узла и единицы основного технологического оборудования и оценки последствий такого отказа (далее – Методические указания) определяют порядок расчета вероятности отказа функционального узла и единицы основного технологического оборудования электрических станций и электрических сетей и оценки последствий такого отказа, которые определяются на основании затрат на восстановление работоспособности единицы оборудования, показателей, отражающих возможные убытки из-за ее отказа, определяемых для целей Методических указаний, и значения вероятности отказа, рассчитанной на основании индекса технического состояния (далее – показатели затрат, ИТС) единицы оборудования.</w:t>
      </w:r>
    </w:p>
    <w:p w14:paraId="2A023E98"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Методические указания применяются Минэнерго России </w:t>
      </w:r>
      <w:r>
        <w:rPr>
          <w:rFonts w:ascii="Times New Roman" w:hAnsi="Times New Roman" w:cs="Times New Roman"/>
          <w:sz w:val="28"/>
          <w:szCs w:val="28"/>
        </w:rPr>
        <w:br/>
        <w:t>и субъектами электроэнергетики в целях:</w:t>
      </w:r>
    </w:p>
    <w:p w14:paraId="33281F44" w14:textId="700F3B73"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формирования типовых предложений об оптимизации процессов эксплуатации объектов электроэнергетики в соответствии с пунктом 11 Методики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утвержденной постановлением Правительства Российской Федерации от 19 декабря 2016 г. № 1401;</w:t>
      </w:r>
    </w:p>
    <w:p w14:paraId="25444993"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определения оптимального вида, состава и стоимости технического воздействия на основное технологическое оборудование при планировании </w:t>
      </w:r>
      <w:r>
        <w:rPr>
          <w:rFonts w:ascii="Times New Roman" w:hAnsi="Times New Roman" w:cs="Times New Roman"/>
          <w:sz w:val="28"/>
          <w:szCs w:val="28"/>
        </w:rPr>
        <w:lastRenderedPageBreak/>
        <w:t>технического обслуживания и ремонта, а также технического перевооружения и реконструкции объектов электроэнергетики в соответствии с главой IV методики оценки технического состояния основного технологического оборудования и линий электропередачи электрических станций и электрических сетей, утвержденной приказом Минэнерго России от 26 июля 2017 г. № 676</w:t>
      </w:r>
      <w:r>
        <w:rPr>
          <w:rStyle w:val="FootnoteReference"/>
          <w:rFonts w:ascii="Times New Roman" w:hAnsi="Times New Roman" w:cs="Times New Roman"/>
          <w:sz w:val="28"/>
          <w:szCs w:val="28"/>
        </w:rPr>
        <w:footnoteReference w:id="2"/>
      </w:r>
      <w:r>
        <w:rPr>
          <w:rFonts w:ascii="Times New Roman" w:hAnsi="Times New Roman" w:cs="Times New Roman"/>
          <w:sz w:val="28"/>
          <w:szCs w:val="28"/>
        </w:rPr>
        <w:t xml:space="preserve"> (далее – методика оценки технического состояния).</w:t>
      </w:r>
    </w:p>
    <w:p w14:paraId="42D621CE"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Показатели затрат, указанные в пункте 1 Методических указаний, не могут использоваться для целей гражданско-правовых отношений. </w:t>
      </w:r>
    </w:p>
    <w:p w14:paraId="2BDBBC92"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указания распространяются на следующие группы оборудования и сооружения объектов электроэнергетики (далее – основное технологическое оборудование):</w:t>
      </w:r>
    </w:p>
    <w:p w14:paraId="27DDF3A0"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паровые турбины установленной мощностью 5 МВт и более;</w:t>
      </w:r>
    </w:p>
    <w:p w14:paraId="08D7F8A7"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паровые (энергетические) котлы;</w:t>
      </w:r>
    </w:p>
    <w:p w14:paraId="606AC2A2"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гидротурбины установленной мощностью 5 МВт и более;</w:t>
      </w:r>
    </w:p>
    <w:p w14:paraId="7AB9A1E1"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гидрогенераторы номинальной мощностью 5 МВт и более;</w:t>
      </w:r>
    </w:p>
    <w:p w14:paraId="3E843D8F"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турбогенераторы номинальной мощностью 5 МВт и более;</w:t>
      </w:r>
    </w:p>
    <w:p w14:paraId="723A647F"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газовые турбины установленной мощностью 5 МВт и более;</w:t>
      </w:r>
    </w:p>
    <w:p w14:paraId="452E5C44"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силовые (авто-)трансформаторы высшего класса номинального напряжения </w:t>
      </w:r>
      <w:r>
        <w:rPr>
          <w:rFonts w:ascii="Times New Roman" w:hAnsi="Times New Roman" w:cs="Times New Roman"/>
          <w:sz w:val="28"/>
          <w:szCs w:val="28"/>
        </w:rPr>
        <w:br/>
        <w:t>35 кВ и выше;</w:t>
      </w:r>
    </w:p>
    <w:p w14:paraId="1E96678F"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линии электропередачи класса номинального напряжения 35 кВ и выше.</w:t>
      </w:r>
    </w:p>
    <w:p w14:paraId="0B0F9E09" w14:textId="77777777" w:rsidR="005979D5" w:rsidRDefault="005979D5">
      <w:pPr>
        <w:pStyle w:val="ConsPlusNormal"/>
        <w:spacing w:line="360" w:lineRule="auto"/>
        <w:ind w:firstLine="709"/>
        <w:contextualSpacing/>
        <w:jc w:val="both"/>
        <w:rPr>
          <w:rFonts w:ascii="Times New Roman" w:hAnsi="Times New Roman" w:cs="Times New Roman"/>
          <w:sz w:val="28"/>
          <w:szCs w:val="28"/>
        </w:rPr>
      </w:pPr>
    </w:p>
    <w:p w14:paraId="712E84E0" w14:textId="77777777" w:rsidR="005979D5" w:rsidRDefault="002B4D7C">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II. Расчет вероятности отказа функционального узла и единицы основного технологического оборудования</w:t>
      </w:r>
    </w:p>
    <w:p w14:paraId="20AC7BC4" w14:textId="77777777" w:rsidR="005979D5" w:rsidRDefault="005979D5">
      <w:pPr>
        <w:pStyle w:val="ConsPlusTitle"/>
        <w:contextualSpacing/>
        <w:jc w:val="center"/>
        <w:outlineLvl w:val="0"/>
        <w:rPr>
          <w:rFonts w:ascii="Times New Roman" w:hAnsi="Times New Roman" w:cs="Times New Roman"/>
          <w:sz w:val="28"/>
          <w:szCs w:val="28"/>
        </w:rPr>
      </w:pPr>
    </w:p>
    <w:p w14:paraId="1414C162"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Расчет вероятности отказа единицы основного технологического оборудования и (или) ее функционального узла осуществляется в следующей последовательности:</w:t>
      </w:r>
    </w:p>
    <w:p w14:paraId="7B4B8266"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определение в соответствии с методикой оценки технического состояния ИТС функциональных узлов единицы основного технологического оборудования;</w:t>
      </w:r>
    </w:p>
    <w:p w14:paraId="1AD66CEE"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прогнозного значения ИТС функциональных узлов в соответствии с пунктом 7 Методических указаний;</w:t>
      </w:r>
    </w:p>
    <w:p w14:paraId="2F1DB344"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определение прогноза вероятности отказа функциональных узлов единицы основного технологического оборудования в соответствии с пунктом 10 Методических указаний;</w:t>
      </w:r>
    </w:p>
    <w:p w14:paraId="2172F226"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определение прогноза вероятности отказа единицы основного технологического оборудования в соответствии с пунктом 11 Методических указаний.</w:t>
      </w:r>
    </w:p>
    <w:p w14:paraId="51C0695B"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изменения ИТС функционального узла проводится </w:t>
      </w:r>
      <w:r>
        <w:rPr>
          <w:rFonts w:ascii="Times New Roman" w:hAnsi="Times New Roman" w:cs="Times New Roman"/>
          <w:sz w:val="28"/>
          <w:szCs w:val="28"/>
        </w:rPr>
        <w:br/>
        <w:t>на пятилетний период, исчисляемый с 1 января года, следующего за годом проведения расчета.</w:t>
      </w:r>
    </w:p>
    <w:p w14:paraId="5D96A1D2"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Вероятность отказа единицы основного технологического оборудования и ее функциональных узлов принимает значение в диапазоне от 1 (наихудшее значение) до 0 (наилучшее значение).</w:t>
      </w:r>
    </w:p>
    <w:p w14:paraId="76CAE65A" w14:textId="77777777"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Расчеты проводятся с округлением до третьего знака после запятой </w:t>
      </w:r>
      <w:r>
        <w:rPr>
          <w:rFonts w:ascii="Times New Roman" w:hAnsi="Times New Roman" w:cs="Times New Roman"/>
          <w:sz w:val="28"/>
          <w:szCs w:val="28"/>
        </w:rPr>
        <w:br/>
        <w:t>по правилам математического округления.</w:t>
      </w:r>
    </w:p>
    <w:p w14:paraId="60F40E91" w14:textId="4CF7B43D"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Прогнозное значение ИТС функционального узла единицы основного технологического оборудования </w:t>
      </w:r>
      <w:r w:rsidR="00F20EF9">
        <w:rPr>
          <w:rFonts w:ascii="Times New Roman" w:hAnsi="Times New Roman" w:cs="Times New Roman"/>
          <w:sz w:val="28"/>
          <w:szCs w:val="28"/>
        </w:rPr>
        <w:t>(</w:t>
      </w:r>
      <w:r>
        <w:rPr>
          <w:rFonts w:ascii="Times New Roman" w:hAnsi="Times New Roman" w:cs="Times New Roman"/>
          <w:sz w:val="28"/>
          <w:szCs w:val="28"/>
        </w:rPr>
        <w:t>ИТСУпф</w:t>
      </w:r>
      <w:r w:rsidR="00F20EF9">
        <w:rPr>
          <w:rFonts w:ascii="Times New Roman" w:hAnsi="Times New Roman" w:cs="Times New Roman"/>
          <w:sz w:val="28"/>
          <w:szCs w:val="28"/>
        </w:rPr>
        <w:t>)</w:t>
      </w:r>
      <w:r>
        <w:rPr>
          <w:rFonts w:ascii="Times New Roman" w:hAnsi="Times New Roman" w:cs="Times New Roman"/>
          <w:sz w:val="28"/>
          <w:szCs w:val="28"/>
        </w:rPr>
        <w:t xml:space="preserve"> в год проведения оценки изменения </w:t>
      </w:r>
      <w:r>
        <w:rPr>
          <w:rFonts w:ascii="Times New Roman" w:hAnsi="Times New Roman" w:cs="Times New Roman"/>
          <w:sz w:val="28"/>
          <w:szCs w:val="28"/>
        </w:rPr>
        <w:br/>
        <w:t>ИТС определяется по формуле:</w:t>
      </w:r>
    </w:p>
    <w:p w14:paraId="48A27C07"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 xml:space="preserve">ИТСУпф = ИТСУтв – К * </w:t>
      </w:r>
      <w:r>
        <w:rPr>
          <w:rFonts w:ascii="Times New Roman" w:hAnsi="Times New Roman" w:cs="Times New Roman"/>
          <w:sz w:val="28"/>
          <w:szCs w:val="28"/>
          <w:lang w:val="en-US"/>
        </w:rPr>
        <w:t>t</w:t>
      </w:r>
      <w:r>
        <w:rPr>
          <w:rFonts w:ascii="Times New Roman" w:hAnsi="Times New Roman" w:cs="Times New Roman"/>
          <w:sz w:val="28"/>
          <w:szCs w:val="28"/>
        </w:rPr>
        <w:t>т * 100, (1)</w:t>
      </w:r>
    </w:p>
    <w:p w14:paraId="1C7CF78E" w14:textId="77777777" w:rsidR="005979D5" w:rsidRDefault="002B4D7C">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где:</w:t>
      </w:r>
    </w:p>
    <w:p w14:paraId="0131C25B"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ИТСУтв – исходное значение ИТС функционального узла (сегмента для линий электропередачи (далее – ЛЭП, функциональный узел) единицы основного технологического оборудования, рассчитанное после ввода в эксплуатацию </w:t>
      </w:r>
      <w:r>
        <w:rPr>
          <w:rFonts w:ascii="Times New Roman" w:hAnsi="Times New Roman" w:cs="Times New Roman"/>
          <w:sz w:val="28"/>
          <w:szCs w:val="28"/>
        </w:rPr>
        <w:br/>
        <w:t xml:space="preserve">либо после проведения последнего технического воздействия, приводящего </w:t>
      </w:r>
      <w:r>
        <w:rPr>
          <w:rFonts w:ascii="Times New Roman" w:hAnsi="Times New Roman" w:cs="Times New Roman"/>
          <w:sz w:val="28"/>
          <w:szCs w:val="28"/>
        </w:rPr>
        <w:br/>
        <w:t xml:space="preserve">к изменению ИТС (капитального, среднего, текущего ремонта или реконструкции (технического перевооружения). </w:t>
      </w:r>
    </w:p>
    <w:p w14:paraId="6CF9C046"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Вид технического воздействия, используемого при оценке прогнозного изменения ИТС для расчета исходного значения ИТСУтв, определяется </w:t>
      </w:r>
      <w:r>
        <w:rPr>
          <w:rFonts w:ascii="Times New Roman" w:hAnsi="Times New Roman" w:cs="Times New Roman"/>
          <w:sz w:val="28"/>
          <w:szCs w:val="28"/>
        </w:rPr>
        <w:br/>
        <w:t xml:space="preserve">в соответствии с </w:t>
      </w:r>
      <w:hyperlink w:anchor="Приложение1" w:tooltip="#Приложение1" w:history="1">
        <w:r>
          <w:rPr>
            <w:rFonts w:ascii="Times New Roman" w:hAnsi="Times New Roman" w:cs="Times New Roman"/>
            <w:sz w:val="28"/>
            <w:szCs w:val="28"/>
          </w:rPr>
          <w:t>приложением № 1</w:t>
        </w:r>
      </w:hyperlink>
      <w:r>
        <w:rPr>
          <w:rFonts w:ascii="Times New Roman" w:hAnsi="Times New Roman" w:cs="Times New Roman"/>
          <w:sz w:val="28"/>
          <w:szCs w:val="28"/>
        </w:rPr>
        <w:t xml:space="preserve"> к Методическим указаниям;</w:t>
      </w:r>
    </w:p>
    <w:p w14:paraId="44522582"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 – модуль тангенса угла наклона функции прогноза изменения ИТС функционального узла единицы основного технологического оборудования, определяемый в соответствии с </w:t>
      </w:r>
      <w:hyperlink w:anchor="Приложение2" w:tooltip="#Приложение2" w:history="1">
        <w:r>
          <w:rPr>
            <w:rFonts w:ascii="Times New Roman" w:hAnsi="Times New Roman" w:cs="Times New Roman"/>
            <w:sz w:val="28"/>
            <w:szCs w:val="28"/>
          </w:rPr>
          <w:t>пунктом</w:t>
        </w:r>
      </w:hyperlink>
      <w:r>
        <w:rPr>
          <w:rFonts w:ascii="Times New Roman" w:hAnsi="Times New Roman" w:cs="Times New Roman"/>
          <w:sz w:val="28"/>
          <w:szCs w:val="28"/>
        </w:rPr>
        <w:t xml:space="preserve"> 9 Методических указаний;</w:t>
      </w:r>
    </w:p>
    <w:p w14:paraId="1E75B6C8"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tт – количество лет, исчисляемое с 1 января года, следующего за годом проведения технического воздействия, используемого при оценке прогнозного изменения ИТС для расчета исходного значения ИТСУтв, до года проведения оценки изменения ИТС функционального узла единицы основного технологического оборудования, лет.</w:t>
      </w:r>
    </w:p>
    <w:p w14:paraId="24F1E63B" w14:textId="5CCF6C55"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Прогноз изменения ИТС функционального узла единицы основного технологического оборудования</w:t>
      </w:r>
      <w:r w:rsidR="00F20EF9">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рассчитывается по формуле:</w:t>
      </w:r>
    </w:p>
    <w:p w14:paraId="5C6A7891" w14:textId="136896FA" w:rsidR="005979D5" w:rsidRDefault="002B4D7C">
      <w:pPr>
        <w:spacing w:after="0" w:line="360" w:lineRule="auto"/>
        <w:ind w:firstLine="567"/>
        <w:contextualSpacing/>
        <w:jc w:val="center"/>
        <w:rPr>
          <w:rFonts w:ascii="Times New Roman" w:hAnsi="Times New Roman" w:cs="Times New Roman"/>
          <w:sz w:val="28"/>
          <w:szCs w:val="28"/>
        </w:rPr>
      </w:pPr>
      <w:proofErr w:type="gramStart"/>
      <w:r>
        <w:rPr>
          <w:rFonts w:ascii="Times New Roman" w:hAnsi="Times New Roman" w:cs="Times New Roman"/>
          <w:sz w:val="28"/>
          <w:szCs w:val="28"/>
          <w:lang w:val="en-US"/>
        </w:rPr>
        <w:t>y</w:t>
      </w:r>
      <w:proofErr w:type="gramEnd"/>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 ИТСУпф/100 – </w:t>
      </w:r>
      <w:r>
        <w:rPr>
          <w:rFonts w:ascii="Times New Roman" w:hAnsi="Times New Roman" w:cs="Times New Roman"/>
          <w:sz w:val="28"/>
          <w:szCs w:val="28"/>
          <w:lang w:val="en-US"/>
        </w:rPr>
        <w:t>K</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 </w:t>
      </w:r>
      <w:r w:rsidR="00F20EF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 xml:space="preserve"> * Ф</w:t>
      </w:r>
      <w:r>
        <w:rPr>
          <w:rFonts w:ascii="Times New Roman" w:hAnsi="Times New Roman" w:cs="Times New Roman"/>
          <w:sz w:val="28"/>
          <w:szCs w:val="28"/>
          <w:lang w:val="en-US"/>
        </w:rPr>
        <w:t>i</w:t>
      </w:r>
      <w:r>
        <w:rPr>
          <w:rFonts w:ascii="Times New Roman" w:hAnsi="Times New Roman" w:cs="Times New Roman"/>
          <w:sz w:val="28"/>
          <w:szCs w:val="28"/>
        </w:rPr>
        <w:t>), (2)</w:t>
      </w:r>
    </w:p>
    <w:p w14:paraId="7BA03A4C" w14:textId="77777777" w:rsidR="005979D5" w:rsidRDefault="002B4D7C">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где:</w:t>
      </w:r>
    </w:p>
    <w:p w14:paraId="4CE97DD4"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ИТСУпф – прогнозное значение ИТС функционального узла единицы основного технологического оборудования, рассчитанное на календарную дату проведения оценки изменения ИТС, определяемое в соответствии с пунктом 7 Методических указаний;</w:t>
      </w:r>
    </w:p>
    <w:p w14:paraId="348D108C" w14:textId="77777777" w:rsidR="005979D5" w:rsidRDefault="002B4D7C">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lang w:val="en-US"/>
        </w:rPr>
        <w:t>t</w:t>
      </w:r>
      <w:proofErr w:type="gramEnd"/>
      <w:r>
        <w:rPr>
          <w:rFonts w:ascii="Times New Roman" w:hAnsi="Times New Roman" w:cs="Times New Roman"/>
          <w:sz w:val="28"/>
          <w:szCs w:val="28"/>
        </w:rPr>
        <w:t xml:space="preserve"> – порядковый номер года в прогнозном периоде оценки изменения ИТС;</w:t>
      </w:r>
    </w:p>
    <w:p w14:paraId="22C09F3B"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rPr>
        <w:t xml:space="preserve"> – модуль тангенса угла наклона функции прогноза изменения ИТС функционального узла единицы основного технологического оборудования, определяемый в соответствии с пунктом </w:t>
      </w:r>
      <w:proofErr w:type="gramStart"/>
      <w:r>
        <w:rPr>
          <w:rFonts w:ascii="Times New Roman" w:hAnsi="Times New Roman" w:cs="Times New Roman"/>
          <w:sz w:val="28"/>
          <w:szCs w:val="28"/>
        </w:rPr>
        <w:t>9 Методических</w:t>
      </w:r>
      <w:proofErr w:type="gramEnd"/>
      <w:r>
        <w:rPr>
          <w:rFonts w:ascii="Times New Roman" w:hAnsi="Times New Roman" w:cs="Times New Roman"/>
          <w:sz w:val="28"/>
          <w:szCs w:val="28"/>
        </w:rPr>
        <w:t xml:space="preserve"> указаний;</w:t>
      </w:r>
    </w:p>
    <w:p w14:paraId="52A96224"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lang w:val="en-US"/>
        </w:rPr>
        <w:t>k</w:t>
      </w:r>
      <w:r>
        <w:rPr>
          <w:rFonts w:ascii="Times New Roman" w:hAnsi="Times New Roman" w:cs="Times New Roman"/>
          <w:sz w:val="28"/>
          <w:szCs w:val="28"/>
        </w:rPr>
        <w:t>п</w:t>
      </w:r>
      <w:r>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 – коэффициент улучшения технического состояния функционального узла единицы основного технологического оборудования, который учитывается в случае проведения технического воздействия i-того вида рассчитывается по формуле (3);</w:t>
      </w:r>
    </w:p>
    <w:p w14:paraId="4726D266"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lang w:val="en-US"/>
        </w:rPr>
        <w:t>i</w:t>
      </w:r>
      <w:r>
        <w:rPr>
          <w:rFonts w:ascii="Times New Roman" w:hAnsi="Times New Roman" w:cs="Times New Roman"/>
          <w:sz w:val="28"/>
          <w:szCs w:val="28"/>
        </w:rPr>
        <w:t xml:space="preserve"> – коэффициент, учитывающий проведение технического воздействия i-того вида при моделировании прогнозного изменения ИТС функционального узла единицы основного технологического оборудования в прогнозном периоде: </w:t>
      </w:r>
    </w:p>
    <w:p w14:paraId="37626C4C"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принимает значение «0»:</w:t>
      </w:r>
    </w:p>
    <w:p w14:paraId="55E15FE6"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течение всего прогнозного периода при отсутствии у субъекта электроэнергетики планов по техническим воздействиям на такую единицу основного технологического оборудования;</w:t>
      </w:r>
    </w:p>
    <w:p w14:paraId="4228CE8D"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годы прогнозного периода, предшествующие году проведения технического воздействия, включенного в планы субъекта электроэнергетики по воздействиям на такую единицу основного технологического оборудования;</w:t>
      </w:r>
    </w:p>
    <w:p w14:paraId="3288C274"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принимает значение «1» при наличии у субъекта электроэнергетики </w:t>
      </w:r>
      <w:r>
        <w:rPr>
          <w:rFonts w:ascii="Times New Roman" w:hAnsi="Times New Roman" w:cs="Times New Roman"/>
          <w:sz w:val="28"/>
          <w:szCs w:val="28"/>
        </w:rPr>
        <w:br/>
        <w:t xml:space="preserve">планов по техническим воздействиям на такую единицу основного технологического оборудования в планируемый год проведения технического воздействия </w:t>
      </w:r>
      <w:r>
        <w:rPr>
          <w:rFonts w:ascii="Times New Roman" w:hAnsi="Times New Roman" w:cs="Times New Roman"/>
          <w:sz w:val="28"/>
          <w:szCs w:val="28"/>
        </w:rPr>
        <w:br/>
        <w:t>и до окончания прогнозного периода;</w:t>
      </w:r>
    </w:p>
    <w:p w14:paraId="43989DB4" w14:textId="10B24319" w:rsidR="005979D5" w:rsidRDefault="00F20EF9">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2B4D7C">
        <w:rPr>
          <w:rFonts w:ascii="Times New Roman" w:hAnsi="Times New Roman" w:cs="Times New Roman"/>
          <w:sz w:val="28"/>
          <w:szCs w:val="28"/>
        </w:rPr>
        <w:t>оэффициент улучшения технического состояния функционального узла единицы основного технологического оборудования</w:t>
      </w:r>
      <w:r>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 рассчитывается по формуле</w:t>
      </w:r>
      <w:r w:rsidR="002B4D7C">
        <w:rPr>
          <w:rFonts w:ascii="Times New Roman" w:hAnsi="Times New Roman" w:cs="Times New Roman"/>
          <w:sz w:val="28"/>
          <w:szCs w:val="28"/>
        </w:rPr>
        <w:t>:</w:t>
      </w:r>
    </w:p>
    <w:p w14:paraId="433CB960" w14:textId="77777777" w:rsidR="005979D5" w:rsidRDefault="002B4D7C">
      <w:pPr>
        <w:spacing w:after="0" w:line="360" w:lineRule="auto"/>
        <w:ind w:firstLine="567"/>
        <w:contextualSpacing/>
        <w:jc w:val="center"/>
        <w:rPr>
          <w:rFonts w:ascii="Times New Roman" w:hAnsi="Times New Roman" w:cs="Times New Roman"/>
          <w:sz w:val="28"/>
          <w:szCs w:val="28"/>
        </w:rPr>
      </w:pPr>
      <w:proofErr w:type="gramStart"/>
      <w:r>
        <w:rPr>
          <w:rFonts w:ascii="Times New Roman" w:hAnsi="Times New Roman" w:cs="Times New Roman"/>
          <w:sz w:val="28"/>
          <w:szCs w:val="28"/>
          <w:lang w:val="en-US"/>
        </w:rPr>
        <w:t>k</w:t>
      </w:r>
      <w:r>
        <w:rPr>
          <w:rFonts w:ascii="Times New Roman" w:hAnsi="Times New Roman" w:cs="Times New Roman"/>
          <w:sz w:val="28"/>
          <w:szCs w:val="28"/>
        </w:rPr>
        <w:t>п</w:t>
      </w:r>
      <w:r>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 = А*(ИТС2 – ИТС1)/100, (3)</w:t>
      </w:r>
    </w:p>
    <w:p w14:paraId="0BA05FCF" w14:textId="77777777" w:rsidR="005979D5" w:rsidRDefault="002B4D7C">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где:</w:t>
      </w:r>
    </w:p>
    <w:p w14:paraId="22884A10"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 коэффициент, учитывающий ухудшение технического состояния оборудования, вызванное его старением, который определятся балльной оценкой параметра «Срок службы», рассчитанной в соответствии с методикой оценки технического состояния, и имеет значение:</w:t>
      </w:r>
    </w:p>
    <w:p w14:paraId="618E14B0"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 при балльной оценке параметра «Срок службы» равной 4;</w:t>
      </w:r>
    </w:p>
    <w:p w14:paraId="22BC8BB7"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0,9 – при балльной оценке параметра «Срок службы» равной 3;</w:t>
      </w:r>
    </w:p>
    <w:p w14:paraId="3648B4E9"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0,8 – при балльной оценке параметра «Срок службы» равной 2;</w:t>
      </w:r>
    </w:p>
    <w:p w14:paraId="1E5128C9"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0,7 – при балльной оценке параметра «Срок службы» равной 1 и 0.</w:t>
      </w:r>
    </w:p>
    <w:p w14:paraId="2A966E34"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ИТС1 – значение ИТС функционального узла до проведения последнего технического воздействия на него того же </w:t>
      </w:r>
      <w:r>
        <w:rPr>
          <w:rFonts w:ascii="Times New Roman" w:hAnsi="Times New Roman" w:cs="Times New Roman"/>
          <w:sz w:val="28"/>
          <w:szCs w:val="28"/>
          <w:lang w:val="en-US"/>
        </w:rPr>
        <w:t>i</w:t>
      </w:r>
      <w:r>
        <w:rPr>
          <w:rFonts w:ascii="Times New Roman" w:hAnsi="Times New Roman" w:cs="Times New Roman"/>
          <w:sz w:val="28"/>
          <w:szCs w:val="28"/>
        </w:rPr>
        <w:t xml:space="preserve">-того вида, которое проводится </w:t>
      </w:r>
      <w:r>
        <w:rPr>
          <w:rFonts w:ascii="Times New Roman" w:hAnsi="Times New Roman" w:cs="Times New Roman"/>
          <w:sz w:val="28"/>
          <w:szCs w:val="28"/>
        </w:rPr>
        <w:br/>
        <w:t>в прогнозном периоде;</w:t>
      </w:r>
    </w:p>
    <w:p w14:paraId="680E89CB"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ИТС2 – значение ИТС функционального узла после проведения последнего технического воздействия на него того же </w:t>
      </w:r>
      <w:r>
        <w:rPr>
          <w:rFonts w:ascii="Times New Roman" w:hAnsi="Times New Roman" w:cs="Times New Roman"/>
          <w:sz w:val="28"/>
          <w:szCs w:val="28"/>
          <w:lang w:val="en-US"/>
        </w:rPr>
        <w:t>i</w:t>
      </w:r>
      <w:r>
        <w:rPr>
          <w:rFonts w:ascii="Times New Roman" w:hAnsi="Times New Roman" w:cs="Times New Roman"/>
          <w:sz w:val="28"/>
          <w:szCs w:val="28"/>
        </w:rPr>
        <w:t xml:space="preserve">-того вида, которое проводится </w:t>
      </w:r>
      <w:r>
        <w:rPr>
          <w:rFonts w:ascii="Times New Roman" w:hAnsi="Times New Roman" w:cs="Times New Roman"/>
          <w:sz w:val="28"/>
          <w:szCs w:val="28"/>
        </w:rPr>
        <w:br/>
        <w:t xml:space="preserve">в прогнозном периоде. В случае отсутствия рассчитанного ИТС функционального узла единицы основного технологического оборудования до и после проведения последнего технического воздействия того же </w:t>
      </w:r>
      <w:r>
        <w:rPr>
          <w:rFonts w:ascii="Times New Roman" w:hAnsi="Times New Roman" w:cs="Times New Roman"/>
          <w:sz w:val="28"/>
          <w:szCs w:val="28"/>
          <w:lang w:val="en-US"/>
        </w:rPr>
        <w:t>i</w:t>
      </w:r>
      <w:r>
        <w:rPr>
          <w:rFonts w:ascii="Times New Roman" w:hAnsi="Times New Roman" w:cs="Times New Roman"/>
          <w:sz w:val="28"/>
          <w:szCs w:val="28"/>
        </w:rPr>
        <w:t xml:space="preserve">-того вида, которое проводится </w:t>
      </w:r>
      <w:r>
        <w:rPr>
          <w:rFonts w:ascii="Times New Roman" w:hAnsi="Times New Roman" w:cs="Times New Roman"/>
          <w:sz w:val="28"/>
          <w:szCs w:val="28"/>
        </w:rPr>
        <w:br/>
        <w:t xml:space="preserve">в прогнозном периоде, значение </w:t>
      </w:r>
      <w:r>
        <w:rPr>
          <w:rFonts w:ascii="Times New Roman" w:hAnsi="Times New Roman" w:cs="Times New Roman"/>
          <w:sz w:val="28"/>
          <w:szCs w:val="28"/>
          <w:lang w:val="en-US"/>
        </w:rPr>
        <w:t>k</w:t>
      </w:r>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 xml:space="preserve"> принимается равным «0».</w:t>
      </w:r>
    </w:p>
    <w:p w14:paraId="10C926D6" w14:textId="4D12274C" w:rsidR="005979D5" w:rsidRDefault="002B4D7C">
      <w:pPr>
        <w:pStyle w:val="ConsPlusNormal"/>
        <w:numPr>
          <w:ilvl w:val="0"/>
          <w:numId w:val="5"/>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Тангенс угла наклона функции прогноза изменения ИТС функционального узла единицы основного технологического оборудования </w:t>
      </w:r>
      <w:r w:rsidR="00F20EF9">
        <w:rPr>
          <w:rFonts w:ascii="Times New Roman" w:hAnsi="Times New Roman" w:cs="Times New Roman"/>
          <w:sz w:val="28"/>
          <w:szCs w:val="28"/>
        </w:rPr>
        <w:t>(</w:t>
      </w:r>
      <w:r>
        <w:rPr>
          <w:rFonts w:ascii="Times New Roman" w:hAnsi="Times New Roman" w:cs="Times New Roman"/>
          <w:sz w:val="28"/>
          <w:szCs w:val="28"/>
        </w:rPr>
        <w:t>К</w:t>
      </w:r>
      <w:r w:rsidR="00F20EF9">
        <w:rPr>
          <w:rFonts w:ascii="Times New Roman" w:hAnsi="Times New Roman" w:cs="Times New Roman"/>
          <w:sz w:val="28"/>
          <w:szCs w:val="28"/>
        </w:rPr>
        <w:t>)</w:t>
      </w:r>
      <w:r>
        <w:rPr>
          <w:rFonts w:ascii="Times New Roman" w:hAnsi="Times New Roman" w:cs="Times New Roman"/>
          <w:sz w:val="28"/>
          <w:szCs w:val="28"/>
        </w:rPr>
        <w:t xml:space="preserve"> определяется по формуле:</w:t>
      </w:r>
    </w:p>
    <w:p w14:paraId="2A1A8B6E" w14:textId="77777777" w:rsidR="005979D5" w:rsidRDefault="002B4D7C">
      <w:pPr>
        <w:pStyle w:val="ConsPlusNormal"/>
        <w:spacing w:line="360" w:lineRule="auto"/>
        <w:ind w:left="927"/>
        <w:contextualSpacing/>
        <w:jc w:val="center"/>
        <w:rPr>
          <w:rFonts w:ascii="Times New Roman" w:hAnsi="Times New Roman" w:cs="Times New Roman"/>
          <w:sz w:val="28"/>
          <w:szCs w:val="28"/>
        </w:rPr>
      </w:pPr>
      <w:r>
        <w:rPr>
          <w:rFonts w:ascii="Times New Roman" w:hAnsi="Times New Roman" w:cs="Times New Roman"/>
          <w:sz w:val="28"/>
          <w:szCs w:val="28"/>
        </w:rPr>
        <w:t xml:space="preserve">К = </w:t>
      </w:r>
      <w:r>
        <w:rPr>
          <w:rFonts w:ascii="Times New Roman" w:hAnsi="Times New Roman" w:cs="Times New Roman"/>
          <w:sz w:val="28"/>
          <w:szCs w:val="28"/>
          <w:lang w:val="en-US"/>
        </w:rPr>
        <w:t>max</w:t>
      </w:r>
      <w:r>
        <w:rPr>
          <w:rFonts w:ascii="Times New Roman" w:hAnsi="Times New Roman" w:cs="Times New Roman"/>
          <w:sz w:val="28"/>
          <w:szCs w:val="28"/>
        </w:rPr>
        <w:t xml:space="preserve"> (Кнорм; |(ИТСУтв – ИТСУф) / (100 * </w:t>
      </w:r>
      <w:r>
        <w:rPr>
          <w:rFonts w:ascii="Times New Roman" w:hAnsi="Times New Roman" w:cs="Times New Roman"/>
          <w:sz w:val="28"/>
          <w:szCs w:val="28"/>
          <w:lang w:val="en-US"/>
        </w:rPr>
        <w:t>t</w:t>
      </w:r>
      <w:r>
        <w:rPr>
          <w:rFonts w:ascii="Times New Roman" w:hAnsi="Times New Roman" w:cs="Times New Roman"/>
          <w:sz w:val="28"/>
          <w:szCs w:val="28"/>
          <w:rtl/>
          <w:lang w:val="en-US"/>
        </w:rPr>
        <w:t>(</w:t>
      </w:r>
      <w:r>
        <w:rPr>
          <w:rFonts w:ascii="Times New Roman" w:hAnsi="Times New Roman" w:cs="Times New Roman"/>
          <w:sz w:val="28"/>
          <w:szCs w:val="28"/>
        </w:rPr>
        <w:t>|), (4)</w:t>
      </w:r>
    </w:p>
    <w:p w14:paraId="5763BCF9" w14:textId="77777777" w:rsidR="005979D5" w:rsidRDefault="002B4D7C">
      <w:pPr>
        <w:pStyle w:val="ConsPlusNormal"/>
        <w:spacing w:line="360" w:lineRule="auto"/>
        <w:ind w:left="927" w:hanging="218"/>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28557746"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Кнорм – установленная величина, которая:</w:t>
      </w:r>
    </w:p>
    <w:p w14:paraId="71CD7199"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данных по ИТС функциональных узлов после технического воздействия, предшествующего техническому воздействию, используемому при оценке прогнозного изменения ИТС для расчета исходного значения ИТСУтв, определяемого в соответствии с </w:t>
      </w:r>
      <w:hyperlink w:anchor="Приложение1" w:tooltip="#Приложение1" w:history="1">
        <w:r>
          <w:rPr>
            <w:rFonts w:ascii="Times New Roman" w:hAnsi="Times New Roman" w:cs="Times New Roman"/>
            <w:sz w:val="28"/>
            <w:szCs w:val="28"/>
          </w:rPr>
          <w:t>приложением № 1</w:t>
        </w:r>
      </w:hyperlink>
      <w:r>
        <w:rPr>
          <w:rFonts w:ascii="Times New Roman" w:hAnsi="Times New Roman" w:cs="Times New Roman"/>
          <w:sz w:val="28"/>
          <w:szCs w:val="28"/>
        </w:rPr>
        <w:t xml:space="preserve"> к Методическим указаниям, </w:t>
      </w:r>
      <w:r>
        <w:rPr>
          <w:rFonts w:ascii="Times New Roman" w:hAnsi="Times New Roman" w:cs="Times New Roman"/>
          <w:sz w:val="28"/>
          <w:szCs w:val="28"/>
        </w:rPr>
        <w:br/>
        <w:t>и до технического воздействия, используемого при оценке прогнозного изменения ИТС для расчета исходного значения ИТСУтв, значения для соответствующего вида функционального узла указаны в таблице № 1 Методических указаний;</w:t>
      </w:r>
    </w:p>
    <w:p w14:paraId="718BEB1F"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наличии данных по ИТС функциональных узлов после технического воздействия, предшествующего техническому воздействию, используемому при оценке прогнозного изменения ИТС для расчета исходного значения ИТСУтв, определяемого в соответствии с </w:t>
      </w:r>
      <w:hyperlink w:anchor="Приложение1" w:tooltip="#Приложение1" w:history="1">
        <w:r>
          <w:rPr>
            <w:rFonts w:ascii="Times New Roman" w:hAnsi="Times New Roman" w:cs="Times New Roman"/>
            <w:sz w:val="28"/>
            <w:szCs w:val="28"/>
          </w:rPr>
          <w:t>приложением № 1</w:t>
        </w:r>
      </w:hyperlink>
      <w:r>
        <w:rPr>
          <w:rFonts w:ascii="Times New Roman" w:hAnsi="Times New Roman" w:cs="Times New Roman"/>
          <w:sz w:val="28"/>
          <w:szCs w:val="28"/>
        </w:rPr>
        <w:t xml:space="preserve"> к Методическим указаниям, и до технического воздействия, используемого при оценке прогнозного изменения ИТС для расчета исходного значения ИТСУтв, определяется по формуле:</w:t>
      </w:r>
    </w:p>
    <w:p w14:paraId="1FC7FDDF" w14:textId="77777777" w:rsidR="005979D5" w:rsidRDefault="002B4D7C">
      <w:pPr>
        <w:pStyle w:val="ConsPlusNormal"/>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Кнорм = |(ИТСУп_тв – ИТСУд_тв) ⁄ (100 * </w:t>
      </w:r>
      <w:r>
        <w:rPr>
          <w:rFonts w:ascii="Times New Roman" w:hAnsi="Times New Roman" w:cs="Times New Roman"/>
          <w:i/>
          <w:iCs/>
          <w:sz w:val="28"/>
          <w:szCs w:val="28"/>
          <w:lang w:val="en-US"/>
        </w:rPr>
        <w:t>t</w:t>
      </w:r>
      <w:r>
        <w:rPr>
          <w:rFonts w:ascii="Times New Roman" w:hAnsi="Times New Roman" w:cs="Times New Roman"/>
          <w:sz w:val="28"/>
          <w:szCs w:val="28"/>
        </w:rPr>
        <w:t>)|, (5)</w:t>
      </w:r>
    </w:p>
    <w:p w14:paraId="5663265B"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34C362CD" w14:textId="77777777" w:rsidR="005979D5" w:rsidRDefault="002B4D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ИТСУп_тв – значение ИТС функционального узла единицы основного технологического оборудования, рассчитанного не позднее последнего числа месяца, следующего за месяцем проведения технического воздействия того же </w:t>
      </w:r>
      <w:r>
        <w:rPr>
          <w:rFonts w:ascii="Times New Roman" w:hAnsi="Times New Roman" w:cs="Times New Roman"/>
          <w:sz w:val="28"/>
          <w:szCs w:val="28"/>
        </w:rPr>
        <w:br/>
      </w:r>
      <w:r>
        <w:rPr>
          <w:rFonts w:ascii="Times New Roman" w:hAnsi="Times New Roman" w:cs="Times New Roman"/>
          <w:sz w:val="28"/>
          <w:szCs w:val="28"/>
          <w:lang w:val="en-US"/>
        </w:rPr>
        <w:t>i</w:t>
      </w:r>
      <w:r>
        <w:rPr>
          <w:rFonts w:ascii="Times New Roman" w:hAnsi="Times New Roman" w:cs="Times New Roman"/>
          <w:sz w:val="28"/>
          <w:szCs w:val="28"/>
        </w:rPr>
        <w:t xml:space="preserve">-того вида, предшествующего техническому воздействию на единицу основного технологического оборудования, используемому при оценке прогнозного изменения ИТС для расчета исходного значения ИТСУтв, определяемого в соответствии </w:t>
      </w:r>
      <w:r>
        <w:rPr>
          <w:rFonts w:ascii="Times New Roman" w:hAnsi="Times New Roman" w:cs="Times New Roman"/>
          <w:sz w:val="28"/>
          <w:szCs w:val="28"/>
        </w:rPr>
        <w:br/>
        <w:t xml:space="preserve">с </w:t>
      </w:r>
      <w:hyperlink w:anchor="Приложение1" w:tooltip="#Приложение1" w:history="1">
        <w:r>
          <w:rPr>
            <w:rFonts w:ascii="Times New Roman" w:hAnsi="Times New Roman" w:cs="Times New Roman"/>
            <w:sz w:val="28"/>
            <w:szCs w:val="28"/>
          </w:rPr>
          <w:t>приложением № 1</w:t>
        </w:r>
      </w:hyperlink>
      <w:r>
        <w:rPr>
          <w:rFonts w:ascii="Times New Roman" w:hAnsi="Times New Roman" w:cs="Times New Roman"/>
          <w:sz w:val="28"/>
          <w:szCs w:val="28"/>
        </w:rPr>
        <w:t xml:space="preserve"> к Методическим указаниям;</w:t>
      </w:r>
    </w:p>
    <w:p w14:paraId="46B221F9"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ИТСУд_тв – значение ИТС функционального узла единицы основного технологического оборудования, рассчитанного до проведения технического </w:t>
      </w:r>
      <w:r>
        <w:rPr>
          <w:rFonts w:ascii="Times New Roman" w:hAnsi="Times New Roman" w:cs="Times New Roman"/>
          <w:sz w:val="28"/>
          <w:szCs w:val="28"/>
        </w:rPr>
        <w:lastRenderedPageBreak/>
        <w:t xml:space="preserve">воздействия того же </w:t>
      </w:r>
      <w:r>
        <w:rPr>
          <w:rFonts w:ascii="Times New Roman" w:hAnsi="Times New Roman" w:cs="Times New Roman"/>
          <w:sz w:val="28"/>
          <w:szCs w:val="28"/>
          <w:lang w:val="en-US"/>
        </w:rPr>
        <w:t>i</w:t>
      </w:r>
      <w:r>
        <w:rPr>
          <w:rFonts w:ascii="Times New Roman" w:hAnsi="Times New Roman" w:cs="Times New Roman"/>
          <w:sz w:val="28"/>
          <w:szCs w:val="28"/>
        </w:rPr>
        <w:t xml:space="preserve">-того вида на единицу основного технологического оборудования, используемого при оценке прогнозного изменения ИТС для расчета исходного значения ИТСУтв, определяемого в соответствии с </w:t>
      </w:r>
      <w:hyperlink w:anchor="Приложение1" w:tooltip="#Приложение1" w:history="1">
        <w:r>
          <w:rPr>
            <w:rFonts w:ascii="Times New Roman" w:hAnsi="Times New Roman" w:cs="Times New Roman"/>
            <w:sz w:val="28"/>
            <w:szCs w:val="28"/>
          </w:rPr>
          <w:t>приложением № 1</w:t>
        </w:r>
      </w:hyperlink>
      <w:r>
        <w:rPr>
          <w:rFonts w:ascii="Times New Roman" w:hAnsi="Times New Roman" w:cs="Times New Roman"/>
          <w:sz w:val="28"/>
          <w:szCs w:val="28"/>
        </w:rPr>
        <w:t xml:space="preserve"> </w:t>
      </w:r>
      <w:r>
        <w:rPr>
          <w:rFonts w:ascii="Times New Roman" w:hAnsi="Times New Roman" w:cs="Times New Roman"/>
          <w:sz w:val="28"/>
          <w:szCs w:val="28"/>
        </w:rPr>
        <w:br/>
        <w:t>к Методическим указаниям;</w:t>
      </w:r>
    </w:p>
    <w:p w14:paraId="3ACE1C95"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i/>
          <w:iCs/>
          <w:sz w:val="28"/>
          <w:szCs w:val="28"/>
          <w:lang w:val="en-US"/>
        </w:rPr>
        <w:t>t</w:t>
      </w:r>
      <w:proofErr w:type="gramEnd"/>
      <w:r>
        <w:rPr>
          <w:rFonts w:ascii="Times New Roman" w:hAnsi="Times New Roman" w:cs="Times New Roman"/>
          <w:sz w:val="28"/>
          <w:szCs w:val="28"/>
        </w:rPr>
        <w:t xml:space="preserve"> – количество лет между годом расчета ИТСУд_тв и годом расчета ИТСУп_тв, лет;</w:t>
      </w:r>
    </w:p>
    <w:p w14:paraId="102B52C7"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ИТСУтв – исходное значение ИТС функционального узла (сегмента для ЛЭП) единицы основного технологического оборудования, рассчитанное после ввода </w:t>
      </w:r>
      <w:r>
        <w:rPr>
          <w:rFonts w:ascii="Times New Roman" w:hAnsi="Times New Roman" w:cs="Times New Roman"/>
          <w:sz w:val="28"/>
          <w:szCs w:val="28"/>
        </w:rPr>
        <w:br/>
        <w:t xml:space="preserve">в эксплуатацию либо после проведения последнего технического воздействия, приводящего к изменению ИТС (капитального, среднего, текущего ремонта или реконструкции (технического перевооружения). Вид технического воздействия, используемого при оценке прогнозного изменения ИТС для расчета исходного значения ИТСУтв, определяется в соответствии с </w:t>
      </w:r>
      <w:hyperlink w:anchor="Приложение1" w:tooltip="#Приложение1" w:history="1">
        <w:r>
          <w:rPr>
            <w:rFonts w:ascii="Times New Roman" w:hAnsi="Times New Roman" w:cs="Times New Roman"/>
            <w:sz w:val="28"/>
            <w:szCs w:val="28"/>
          </w:rPr>
          <w:t>приложением № 1</w:t>
        </w:r>
      </w:hyperlink>
      <w:r>
        <w:rPr>
          <w:rFonts w:ascii="Times New Roman" w:hAnsi="Times New Roman" w:cs="Times New Roman"/>
          <w:sz w:val="28"/>
          <w:szCs w:val="28"/>
        </w:rPr>
        <w:t xml:space="preserve"> к Методическим указаниям;</w:t>
      </w:r>
    </w:p>
    <w:p w14:paraId="69135D2E"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ИТСУф – актуальное (последнее рассчитанное в соответствии с методикой оценки технического состояния) значение ИТС функционального узла единицы основного технологического оборудования;</w:t>
      </w:r>
    </w:p>
    <w:p w14:paraId="26EA9317"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i/>
          <w:iCs/>
          <w:sz w:val="28"/>
          <w:szCs w:val="28"/>
          <w:lang w:val="en-US"/>
        </w:rPr>
        <w:t>t</w:t>
      </w:r>
      <w:proofErr w:type="gramEnd"/>
      <w:r>
        <w:rPr>
          <w:rFonts w:ascii="Times New Roman" w:hAnsi="Times New Roman" w:cs="Times New Roman"/>
          <w:sz w:val="28"/>
          <w:szCs w:val="28"/>
        </w:rPr>
        <w:t xml:space="preserve"> – длительность периода между расчетом значения ИТСУтв и расчетом значения ИТСУф, лет. </w:t>
      </w:r>
    </w:p>
    <w:p w14:paraId="1019A9FB"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оценке прогнозного значения ИТС функционального узла единицы основного технологического оборудования по истечении межремонтного периода </w:t>
      </w:r>
      <w:r>
        <w:rPr>
          <w:rFonts w:ascii="Times New Roman" w:hAnsi="Times New Roman" w:cs="Times New Roman"/>
          <w:sz w:val="28"/>
          <w:szCs w:val="28"/>
        </w:rPr>
        <w:br/>
        <w:t>и при непроведении технического воздействия применяется значение тангенса угла наклона функции прогноза изменения, указанное в таблице № 1 Методических указаний.</w:t>
      </w:r>
    </w:p>
    <w:p w14:paraId="439AC6BE" w14:textId="77777777" w:rsidR="005979D5" w:rsidRDefault="002B4D7C">
      <w:pPr>
        <w:pStyle w:val="ConsPlusNormal"/>
        <w:spacing w:line="36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Значение модуля тангенса угла наклона функции прогноза изменения ИТС функционального узла единицы основного технологического оборудования </w:t>
      </w:r>
      <w:r>
        <w:rPr>
          <w:rFonts w:ascii="Times New Roman" w:hAnsi="Times New Roman" w:cs="Times New Roman"/>
          <w:sz w:val="28"/>
          <w:szCs w:val="28"/>
        </w:rPr>
        <w:br/>
        <w:t xml:space="preserve">может уточняться субъектом электроэнергетики, при этом в сторону снижения </w:t>
      </w:r>
      <w:r>
        <w:rPr>
          <w:rFonts w:ascii="Times New Roman" w:hAnsi="Times New Roman" w:cs="Times New Roman"/>
          <w:sz w:val="28"/>
          <w:szCs w:val="28"/>
        </w:rPr>
        <w:br/>
        <w:t xml:space="preserve">не может принимать значения менее указанных в таблице № 2 </w:t>
      </w:r>
      <w:r>
        <w:rPr>
          <w:rFonts w:ascii="Times New Roman" w:hAnsi="Times New Roman" w:cs="Times New Roman"/>
          <w:bCs/>
          <w:sz w:val="28"/>
          <w:szCs w:val="28"/>
        </w:rPr>
        <w:t>Методических указаний.</w:t>
      </w:r>
    </w:p>
    <w:p w14:paraId="23C74895"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clear="all"/>
      </w:r>
    </w:p>
    <w:p w14:paraId="1C613E22" w14:textId="77777777" w:rsidR="005979D5" w:rsidRDefault="002B4D7C">
      <w:pPr>
        <w:pStyle w:val="ConsPlusNormal"/>
        <w:spacing w:line="36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lastRenderedPageBreak/>
        <w:t>Таблица № 1</w:t>
      </w:r>
    </w:p>
    <w:p w14:paraId="59996CCD" w14:textId="77777777" w:rsidR="005979D5" w:rsidRDefault="002B4D7C">
      <w:pPr>
        <w:pStyle w:val="ConsPlusNormal"/>
        <w:ind w:firstLine="567"/>
        <w:contextualSpacing/>
        <w:jc w:val="center"/>
        <w:rPr>
          <w:rFonts w:ascii="Times New Roman" w:hAnsi="Times New Roman" w:cs="Times New Roman"/>
          <w:sz w:val="28"/>
          <w:szCs w:val="28"/>
        </w:rPr>
      </w:pPr>
      <w:r>
        <w:rPr>
          <w:rFonts w:ascii="Times New Roman" w:hAnsi="Times New Roman" w:cs="Times New Roman"/>
          <w:bCs/>
          <w:sz w:val="28"/>
          <w:szCs w:val="28"/>
        </w:rPr>
        <w:t>Нормированные значения тангенса угла наклона функции прогноза изменения ИТС функционального узла</w:t>
      </w:r>
    </w:p>
    <w:tbl>
      <w:tblPr>
        <w:tblStyle w:val="TableGrid"/>
        <w:tblW w:w="5000" w:type="pct"/>
        <w:tblLook w:val="04A0" w:firstRow="1" w:lastRow="0" w:firstColumn="1" w:lastColumn="0" w:noHBand="0" w:noVBand="1"/>
      </w:tblPr>
      <w:tblGrid>
        <w:gridCol w:w="778"/>
        <w:gridCol w:w="5754"/>
        <w:gridCol w:w="3889"/>
      </w:tblGrid>
      <w:tr w:rsidR="005979D5" w14:paraId="4D1E257C" w14:textId="77777777">
        <w:tc>
          <w:tcPr>
            <w:tcW w:w="373" w:type="pct"/>
            <w:vAlign w:val="center"/>
          </w:tcPr>
          <w:p w14:paraId="6DEFD521"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п/п</w:t>
            </w:r>
          </w:p>
        </w:tc>
        <w:tc>
          <w:tcPr>
            <w:tcW w:w="2761" w:type="pct"/>
            <w:vAlign w:val="center"/>
          </w:tcPr>
          <w:p w14:paraId="24D038F8"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Вид функционального узла</w:t>
            </w:r>
          </w:p>
        </w:tc>
        <w:tc>
          <w:tcPr>
            <w:tcW w:w="1866" w:type="pct"/>
            <w:vAlign w:val="center"/>
          </w:tcPr>
          <w:p w14:paraId="63263DCF"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Значение тангенса угла наклона функции прогноза изменения</w:t>
            </w:r>
          </w:p>
        </w:tc>
      </w:tr>
      <w:tr w:rsidR="005979D5" w14:paraId="4E3F84E0" w14:textId="77777777">
        <w:tc>
          <w:tcPr>
            <w:tcW w:w="373" w:type="pct"/>
          </w:tcPr>
          <w:p w14:paraId="1890E67B"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2761" w:type="pct"/>
          </w:tcPr>
          <w:p w14:paraId="09E6CDC2"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Ресурсоопределяющий функциональный узел (указанный в </w:t>
            </w:r>
            <w:hyperlink w:anchor="Приложение3" w:tooltip="#Приложение3" w:history="1">
              <w:r>
                <w:rPr>
                  <w:rFonts w:ascii="Times New Roman" w:hAnsi="Times New Roman" w:cs="Times New Roman"/>
                  <w:sz w:val="28"/>
                  <w:szCs w:val="28"/>
                </w:rPr>
                <w:t xml:space="preserve">приложении № </w:t>
              </w:r>
            </w:hyperlink>
            <w:r>
              <w:rPr>
                <w:rFonts w:ascii="Times New Roman" w:hAnsi="Times New Roman" w:cs="Times New Roman"/>
                <w:sz w:val="28"/>
                <w:szCs w:val="28"/>
              </w:rPr>
              <w:t>4 к Методическим указаниям)</w:t>
            </w:r>
          </w:p>
        </w:tc>
        <w:tc>
          <w:tcPr>
            <w:tcW w:w="1866" w:type="pct"/>
          </w:tcPr>
          <w:p w14:paraId="7670537B"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0,03</w:t>
            </w:r>
          </w:p>
        </w:tc>
      </w:tr>
      <w:tr w:rsidR="005979D5" w14:paraId="2CD2C901" w14:textId="77777777">
        <w:tc>
          <w:tcPr>
            <w:tcW w:w="373" w:type="pct"/>
          </w:tcPr>
          <w:p w14:paraId="75D9747E"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761" w:type="pct"/>
          </w:tcPr>
          <w:p w14:paraId="3256EDED"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Сегмент ЛЭП</w:t>
            </w:r>
          </w:p>
        </w:tc>
        <w:tc>
          <w:tcPr>
            <w:tcW w:w="1866" w:type="pct"/>
          </w:tcPr>
          <w:p w14:paraId="4BF26328"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0,03</w:t>
            </w:r>
          </w:p>
        </w:tc>
      </w:tr>
      <w:tr w:rsidR="005979D5" w14:paraId="59D751E4" w14:textId="77777777">
        <w:tc>
          <w:tcPr>
            <w:tcW w:w="373" w:type="pct"/>
          </w:tcPr>
          <w:p w14:paraId="2D75EC2D"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761" w:type="pct"/>
          </w:tcPr>
          <w:p w14:paraId="1FF258C2"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Функциональные узлы, кроме ресурсоопределяющих и сегмента ЛЭП</w:t>
            </w:r>
          </w:p>
        </w:tc>
        <w:tc>
          <w:tcPr>
            <w:tcW w:w="1866" w:type="pct"/>
          </w:tcPr>
          <w:p w14:paraId="2F43DF39" w14:textId="77777777" w:rsidR="005979D5" w:rsidRDefault="005979D5">
            <w:pPr>
              <w:pStyle w:val="ConsPlusNormal"/>
              <w:contextualSpacing/>
              <w:jc w:val="center"/>
              <w:rPr>
                <w:rFonts w:ascii="Times New Roman" w:hAnsi="Times New Roman" w:cs="Times New Roman"/>
                <w:sz w:val="28"/>
                <w:szCs w:val="28"/>
              </w:rPr>
            </w:pPr>
          </w:p>
        </w:tc>
      </w:tr>
      <w:tr w:rsidR="005979D5" w14:paraId="7FC60A5A" w14:textId="77777777">
        <w:tc>
          <w:tcPr>
            <w:tcW w:w="373" w:type="pct"/>
          </w:tcPr>
          <w:p w14:paraId="346D7CE8"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3.1.</w:t>
            </w:r>
          </w:p>
        </w:tc>
        <w:tc>
          <w:tcPr>
            <w:tcW w:w="2761" w:type="pct"/>
          </w:tcPr>
          <w:p w14:paraId="675DAB64" w14:textId="47A7A19D"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Функциональные узлы основного технологического оборудования, для которого установлен межремонтный срок службы </w:t>
            </w:r>
            <w:r w:rsidR="00F20EF9">
              <w:rPr>
                <w:rFonts w:ascii="Times New Roman" w:hAnsi="Times New Roman" w:cs="Times New Roman"/>
                <w:sz w:val="28"/>
                <w:szCs w:val="28"/>
              </w:rPr>
              <w:t>(</w:t>
            </w:r>
            <w:r>
              <w:rPr>
                <w:rFonts w:ascii="Times New Roman" w:hAnsi="Times New Roman" w:cs="Times New Roman"/>
                <w:sz w:val="28"/>
                <w:szCs w:val="28"/>
              </w:rPr>
              <w:t>Мс</w:t>
            </w:r>
            <w:r w:rsidR="00F20EF9">
              <w:rPr>
                <w:rFonts w:ascii="Times New Roman" w:hAnsi="Times New Roman" w:cs="Times New Roman"/>
                <w:sz w:val="28"/>
                <w:szCs w:val="28"/>
              </w:rPr>
              <w:t>)</w:t>
            </w:r>
          </w:p>
        </w:tc>
        <w:tc>
          <w:tcPr>
            <w:tcW w:w="1866" w:type="pct"/>
          </w:tcPr>
          <w:p w14:paraId="0F8516BD"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1/(Мс * 2)</w:t>
            </w:r>
          </w:p>
        </w:tc>
      </w:tr>
      <w:tr w:rsidR="005979D5" w14:paraId="738AA503" w14:textId="77777777">
        <w:tc>
          <w:tcPr>
            <w:tcW w:w="373" w:type="pct"/>
          </w:tcPr>
          <w:p w14:paraId="6B8819A6"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3.2.</w:t>
            </w:r>
          </w:p>
        </w:tc>
        <w:tc>
          <w:tcPr>
            <w:tcW w:w="2761" w:type="pct"/>
          </w:tcPr>
          <w:p w14:paraId="5F4CF85A" w14:textId="0B1F1BD0"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Функциональные узлы основного технологического оборудования, для которого установлен межремонтный ресурс </w:t>
            </w:r>
            <w:r w:rsidR="00F20EF9">
              <w:rPr>
                <w:rFonts w:ascii="Times New Roman" w:hAnsi="Times New Roman" w:cs="Times New Roman"/>
                <w:sz w:val="28"/>
                <w:szCs w:val="28"/>
              </w:rPr>
              <w:t>(</w:t>
            </w:r>
            <w:r>
              <w:rPr>
                <w:rFonts w:ascii="Times New Roman" w:hAnsi="Times New Roman" w:cs="Times New Roman"/>
                <w:sz w:val="28"/>
                <w:szCs w:val="28"/>
              </w:rPr>
              <w:t>Мр</w:t>
            </w:r>
            <w:r w:rsidR="00F20EF9">
              <w:rPr>
                <w:rFonts w:ascii="Times New Roman" w:hAnsi="Times New Roman" w:cs="Times New Roman"/>
                <w:sz w:val="28"/>
                <w:szCs w:val="28"/>
              </w:rPr>
              <w:t>)</w:t>
            </w:r>
            <w:r>
              <w:rPr>
                <w:rFonts w:ascii="Times New Roman" w:hAnsi="Times New Roman" w:cs="Times New Roman"/>
                <w:sz w:val="28"/>
                <w:szCs w:val="28"/>
              </w:rPr>
              <w:t xml:space="preserve"> </w:t>
            </w:r>
          </w:p>
        </w:tc>
        <w:tc>
          <w:tcPr>
            <w:tcW w:w="1866" w:type="pct"/>
          </w:tcPr>
          <w:p w14:paraId="26E08910" w14:textId="77777777" w:rsidR="005979D5" w:rsidRDefault="002B4D7C">
            <w:pPr>
              <w:pStyle w:val="ConsPlusNormal"/>
              <w:contextualSpacing/>
              <w:rPr>
                <w:rFonts w:ascii="Times New Roman" w:hAnsi="Times New Roman" w:cs="Times New Roman"/>
                <w:sz w:val="28"/>
                <w:szCs w:val="28"/>
              </w:rPr>
            </w:pPr>
            <w:r>
              <w:rPr>
                <w:rFonts w:ascii="Times New Roman" w:hAnsi="Times New Roman" w:cs="Times New Roman"/>
                <w:sz w:val="28"/>
                <w:szCs w:val="28"/>
              </w:rPr>
              <w:t>1/[(6*Мр)/(</w:t>
            </w: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lang w:val="en-US"/>
                    </w:rPr>
                    <m:t>i</m:t>
                  </m:r>
                </m:sub>
                <m:sup/>
                <m:e>
                  <m:r>
                    <w:rPr>
                      <w:rFonts w:ascii="Cambria Math" w:hAnsi="Cambria Math" w:cs="Times New Roman"/>
                      <w:sz w:val="28"/>
                      <w:szCs w:val="28"/>
                    </w:rPr>
                    <m:t>Нараб</m:t>
                  </m:r>
                  <m:r>
                    <w:rPr>
                      <w:rFonts w:ascii="Cambria Math" w:hAnsi="Cambria Math" w:cs="Times New Roman"/>
                      <w:sz w:val="28"/>
                      <w:szCs w:val="28"/>
                      <w:lang w:val="en-US"/>
                    </w:rPr>
                    <m:t>i</m:t>
                  </m:r>
                </m:e>
              </m:nary>
            </m:oMath>
            <w:r>
              <w:rPr>
                <w:rFonts w:ascii="Times New Roman" w:hAnsi="Times New Roman" w:cs="Times New Roman"/>
                <w:sz w:val="28"/>
                <w:szCs w:val="28"/>
              </w:rPr>
              <w:t>)], где: Нараб</w:t>
            </w:r>
            <w:r>
              <w:rPr>
                <w:rFonts w:ascii="Times New Roman" w:hAnsi="Times New Roman" w:cs="Times New Roman"/>
                <w:i/>
                <w:sz w:val="28"/>
                <w:szCs w:val="28"/>
                <w:lang w:val="en-US"/>
              </w:rPr>
              <w:t>i</w:t>
            </w:r>
            <w:r>
              <w:rPr>
                <w:rFonts w:ascii="Times New Roman" w:hAnsi="Times New Roman" w:cs="Times New Roman"/>
                <w:sz w:val="28"/>
                <w:szCs w:val="28"/>
              </w:rPr>
              <w:t xml:space="preserve"> - годовая наработка </w:t>
            </w:r>
            <w:r>
              <w:rPr>
                <w:rFonts w:ascii="Times New Roman" w:hAnsi="Times New Roman" w:cs="Times New Roman"/>
                <w:sz w:val="28"/>
                <w:szCs w:val="28"/>
              </w:rPr>
              <w:br/>
              <w:t>за 3 предыдущих года от года проведения последнего расчета, ч.</w:t>
            </w:r>
          </w:p>
        </w:tc>
      </w:tr>
      <w:tr w:rsidR="005979D5" w14:paraId="6C2A5D52" w14:textId="77777777">
        <w:tc>
          <w:tcPr>
            <w:tcW w:w="373" w:type="pct"/>
          </w:tcPr>
          <w:p w14:paraId="28E965DE"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3.3.</w:t>
            </w:r>
          </w:p>
        </w:tc>
        <w:tc>
          <w:tcPr>
            <w:tcW w:w="2761" w:type="pct"/>
          </w:tcPr>
          <w:p w14:paraId="1CF5C034"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Иные функциональные узлы, не описанные в позициях 3.1 и 3.2 настоящей таблицы</w:t>
            </w:r>
          </w:p>
        </w:tc>
        <w:tc>
          <w:tcPr>
            <w:tcW w:w="1866" w:type="pct"/>
          </w:tcPr>
          <w:p w14:paraId="1ADB5A78" w14:textId="77777777" w:rsidR="005979D5" w:rsidRDefault="002B4D7C">
            <w:pPr>
              <w:pStyle w:val="ConsPlusNormal"/>
              <w:ind w:firstLine="567"/>
              <w:contextualSpacing/>
              <w:jc w:val="center"/>
              <w:rPr>
                <w:rFonts w:ascii="Times New Roman" w:hAnsi="Times New Roman" w:cs="Times New Roman"/>
                <w:sz w:val="28"/>
                <w:szCs w:val="28"/>
              </w:rPr>
            </w:pPr>
            <w:r>
              <w:rPr>
                <w:rFonts w:ascii="Times New Roman" w:hAnsi="Times New Roman" w:cs="Times New Roman"/>
                <w:sz w:val="28"/>
                <w:szCs w:val="28"/>
              </w:rPr>
              <w:t>0,07</w:t>
            </w:r>
          </w:p>
        </w:tc>
      </w:tr>
    </w:tbl>
    <w:p w14:paraId="304B07AE" w14:textId="77777777" w:rsidR="005979D5" w:rsidRDefault="002B4D7C">
      <w:pPr>
        <w:pStyle w:val="ConsPlusNorma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br w:type="page" w:clear="all"/>
      </w:r>
    </w:p>
    <w:p w14:paraId="49725F79" w14:textId="77777777" w:rsidR="005979D5" w:rsidRDefault="002B4D7C">
      <w:pPr>
        <w:pStyle w:val="ConsPlusNormal"/>
        <w:spacing w:line="36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lastRenderedPageBreak/>
        <w:t>Таблица № 2</w:t>
      </w:r>
    </w:p>
    <w:p w14:paraId="43C586D0"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bCs/>
          <w:sz w:val="28"/>
          <w:szCs w:val="28"/>
        </w:rPr>
        <w:t xml:space="preserve">Предельные значения тангенса угла наклона функции прогноза изменения </w:t>
      </w:r>
      <w:r>
        <w:rPr>
          <w:rFonts w:ascii="Times New Roman" w:hAnsi="Times New Roman" w:cs="Times New Roman"/>
          <w:bCs/>
          <w:sz w:val="28"/>
          <w:szCs w:val="28"/>
        </w:rPr>
        <w:br/>
        <w:t>ИТС функционального узла</w:t>
      </w:r>
    </w:p>
    <w:tbl>
      <w:tblPr>
        <w:tblStyle w:val="TableGrid"/>
        <w:tblW w:w="5000" w:type="pct"/>
        <w:tblLayout w:type="fixed"/>
        <w:tblLook w:val="04A0" w:firstRow="1" w:lastRow="0" w:firstColumn="1" w:lastColumn="0" w:noHBand="0" w:noVBand="1"/>
      </w:tblPr>
      <w:tblGrid>
        <w:gridCol w:w="773"/>
        <w:gridCol w:w="5115"/>
        <w:gridCol w:w="4533"/>
      </w:tblGrid>
      <w:tr w:rsidR="005979D5" w14:paraId="0F4EEBBB" w14:textId="77777777">
        <w:trPr>
          <w:cantSplit/>
          <w:tblHeader/>
        </w:trPr>
        <w:tc>
          <w:tcPr>
            <w:tcW w:w="371" w:type="pct"/>
            <w:vAlign w:val="center"/>
          </w:tcPr>
          <w:p w14:paraId="0BD1BBF2"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п/п</w:t>
            </w:r>
          </w:p>
        </w:tc>
        <w:tc>
          <w:tcPr>
            <w:tcW w:w="2454" w:type="pct"/>
            <w:vAlign w:val="center"/>
          </w:tcPr>
          <w:p w14:paraId="0823F95A"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Вид функционального узла</w:t>
            </w:r>
          </w:p>
        </w:tc>
        <w:tc>
          <w:tcPr>
            <w:tcW w:w="2175" w:type="pct"/>
            <w:vAlign w:val="center"/>
          </w:tcPr>
          <w:p w14:paraId="67219B47"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Предельное значение тангенса угла наклона функции прогноза изменения</w:t>
            </w:r>
          </w:p>
        </w:tc>
      </w:tr>
      <w:tr w:rsidR="005979D5" w14:paraId="27FBAF17" w14:textId="77777777">
        <w:trPr>
          <w:cantSplit/>
        </w:trPr>
        <w:tc>
          <w:tcPr>
            <w:tcW w:w="371" w:type="pct"/>
          </w:tcPr>
          <w:p w14:paraId="61B61EDA"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2454" w:type="pct"/>
          </w:tcPr>
          <w:p w14:paraId="22CA7AB2"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Ресурсоопределяющий функциональный узел (</w:t>
            </w:r>
            <w:hyperlink w:anchor="Приложение3" w:tooltip="#Приложение3" w:history="1">
              <w:r>
                <w:rPr>
                  <w:rFonts w:ascii="Times New Roman" w:hAnsi="Times New Roman" w:cs="Times New Roman"/>
                  <w:sz w:val="28"/>
                  <w:szCs w:val="28"/>
                </w:rPr>
                <w:t xml:space="preserve">указанный в приложении № </w:t>
              </w:r>
            </w:hyperlink>
            <w:r>
              <w:rPr>
                <w:rFonts w:ascii="Times New Roman" w:hAnsi="Times New Roman" w:cs="Times New Roman"/>
                <w:sz w:val="28"/>
                <w:szCs w:val="28"/>
              </w:rPr>
              <w:t>4 к Методическим указаниям)</w:t>
            </w:r>
          </w:p>
        </w:tc>
        <w:tc>
          <w:tcPr>
            <w:tcW w:w="2175" w:type="pct"/>
          </w:tcPr>
          <w:p w14:paraId="4CD1CEE9"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0,02</w:t>
            </w:r>
          </w:p>
        </w:tc>
      </w:tr>
      <w:tr w:rsidR="005979D5" w14:paraId="4C2CAC68" w14:textId="77777777">
        <w:trPr>
          <w:cantSplit/>
        </w:trPr>
        <w:tc>
          <w:tcPr>
            <w:tcW w:w="371" w:type="pct"/>
          </w:tcPr>
          <w:p w14:paraId="7D78D527"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454" w:type="pct"/>
          </w:tcPr>
          <w:p w14:paraId="1F96242B"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Сегмент ЛЭП</w:t>
            </w:r>
          </w:p>
        </w:tc>
        <w:tc>
          <w:tcPr>
            <w:tcW w:w="2175" w:type="pct"/>
          </w:tcPr>
          <w:p w14:paraId="5DF647C8"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0,02</w:t>
            </w:r>
          </w:p>
        </w:tc>
      </w:tr>
      <w:tr w:rsidR="005979D5" w14:paraId="428666D0" w14:textId="77777777">
        <w:trPr>
          <w:cantSplit/>
        </w:trPr>
        <w:tc>
          <w:tcPr>
            <w:tcW w:w="371" w:type="pct"/>
          </w:tcPr>
          <w:p w14:paraId="68DEE912"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454" w:type="pct"/>
          </w:tcPr>
          <w:p w14:paraId="4AA048D5"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Функциональные узлы, кроме ресурсоопределяющих и сегмента ЛЭП</w:t>
            </w:r>
          </w:p>
        </w:tc>
        <w:tc>
          <w:tcPr>
            <w:tcW w:w="2175" w:type="pct"/>
          </w:tcPr>
          <w:p w14:paraId="0216DF6F" w14:textId="77777777" w:rsidR="005979D5" w:rsidRDefault="005979D5">
            <w:pPr>
              <w:pStyle w:val="ConsPlusNormal"/>
              <w:contextualSpacing/>
              <w:jc w:val="center"/>
              <w:rPr>
                <w:rFonts w:ascii="Times New Roman" w:hAnsi="Times New Roman" w:cs="Times New Roman"/>
                <w:sz w:val="28"/>
                <w:szCs w:val="28"/>
              </w:rPr>
            </w:pPr>
          </w:p>
        </w:tc>
      </w:tr>
      <w:tr w:rsidR="005979D5" w14:paraId="4BCB977F" w14:textId="77777777">
        <w:trPr>
          <w:cantSplit/>
        </w:trPr>
        <w:tc>
          <w:tcPr>
            <w:tcW w:w="371" w:type="pct"/>
          </w:tcPr>
          <w:p w14:paraId="392309F7"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3.1.</w:t>
            </w:r>
          </w:p>
        </w:tc>
        <w:tc>
          <w:tcPr>
            <w:tcW w:w="2454" w:type="pct"/>
          </w:tcPr>
          <w:p w14:paraId="10420F64" w14:textId="4D24510E"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Функциональные узлы основного технологического оборудования, для которого установлен межремонтный срок службы </w:t>
            </w:r>
            <w:r w:rsidR="00F20EF9">
              <w:rPr>
                <w:rFonts w:ascii="Times New Roman" w:hAnsi="Times New Roman" w:cs="Times New Roman"/>
                <w:sz w:val="28"/>
                <w:szCs w:val="28"/>
              </w:rPr>
              <w:t>(</w:t>
            </w:r>
            <w:r>
              <w:rPr>
                <w:rFonts w:ascii="Times New Roman" w:hAnsi="Times New Roman" w:cs="Times New Roman"/>
                <w:sz w:val="28"/>
                <w:szCs w:val="28"/>
              </w:rPr>
              <w:t>Мс</w:t>
            </w:r>
            <w:r w:rsidR="00F20EF9">
              <w:rPr>
                <w:rFonts w:ascii="Times New Roman" w:hAnsi="Times New Roman" w:cs="Times New Roman"/>
                <w:sz w:val="28"/>
                <w:szCs w:val="28"/>
              </w:rPr>
              <w:t>)</w:t>
            </w:r>
          </w:p>
        </w:tc>
        <w:tc>
          <w:tcPr>
            <w:tcW w:w="2175" w:type="pct"/>
          </w:tcPr>
          <w:p w14:paraId="51552DD1"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1/(Мс * 4)</w:t>
            </w:r>
          </w:p>
        </w:tc>
      </w:tr>
      <w:tr w:rsidR="005979D5" w14:paraId="5AAA96B5" w14:textId="77777777">
        <w:trPr>
          <w:cantSplit/>
        </w:trPr>
        <w:tc>
          <w:tcPr>
            <w:tcW w:w="371" w:type="pct"/>
          </w:tcPr>
          <w:p w14:paraId="5C7FC48B"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3.2.</w:t>
            </w:r>
          </w:p>
        </w:tc>
        <w:tc>
          <w:tcPr>
            <w:tcW w:w="2454" w:type="pct"/>
          </w:tcPr>
          <w:p w14:paraId="2CA3E76F" w14:textId="26218E85"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Функциональные узлы основного технологического оборудования, для которого установлен межремонтный ресурс </w:t>
            </w:r>
            <w:r w:rsidR="00F20EF9">
              <w:rPr>
                <w:rFonts w:ascii="Times New Roman" w:hAnsi="Times New Roman" w:cs="Times New Roman"/>
                <w:sz w:val="28"/>
                <w:szCs w:val="28"/>
              </w:rPr>
              <w:t>(</w:t>
            </w:r>
            <w:r>
              <w:rPr>
                <w:rFonts w:ascii="Times New Roman" w:hAnsi="Times New Roman" w:cs="Times New Roman"/>
                <w:sz w:val="28"/>
                <w:szCs w:val="28"/>
              </w:rPr>
              <w:t>Мр</w:t>
            </w:r>
            <w:r w:rsidR="00F20EF9">
              <w:rPr>
                <w:rFonts w:ascii="Times New Roman" w:hAnsi="Times New Roman" w:cs="Times New Roman"/>
                <w:sz w:val="28"/>
                <w:szCs w:val="28"/>
              </w:rPr>
              <w:t>)</w:t>
            </w:r>
          </w:p>
        </w:tc>
        <w:tc>
          <w:tcPr>
            <w:tcW w:w="2175" w:type="pct"/>
          </w:tcPr>
          <w:p w14:paraId="26F2461F"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1/[(12*Мр)/(</w:t>
            </w: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lang w:val="en-US"/>
                    </w:rPr>
                    <m:t>i</m:t>
                  </m:r>
                </m:sub>
                <m:sup/>
                <m:e>
                  <m:r>
                    <w:rPr>
                      <w:rFonts w:ascii="Cambria Math" w:hAnsi="Cambria Math" w:cs="Times New Roman"/>
                      <w:sz w:val="28"/>
                      <w:szCs w:val="28"/>
                    </w:rPr>
                    <m:t>Нараб</m:t>
                  </m:r>
                  <m:r>
                    <w:rPr>
                      <w:rFonts w:ascii="Cambria Math" w:hAnsi="Cambria Math" w:cs="Times New Roman"/>
                      <w:sz w:val="28"/>
                      <w:szCs w:val="28"/>
                      <w:lang w:val="en-US"/>
                    </w:rPr>
                    <m:t>i</m:t>
                  </m:r>
                </m:e>
              </m:nary>
            </m:oMath>
            <w:r>
              <w:rPr>
                <w:rFonts w:ascii="Times New Roman" w:hAnsi="Times New Roman" w:cs="Times New Roman"/>
                <w:sz w:val="28"/>
                <w:szCs w:val="28"/>
              </w:rPr>
              <w:t xml:space="preserve">)], </w:t>
            </w:r>
          </w:p>
          <w:p w14:paraId="7764374E"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где Нараб</w:t>
            </w:r>
            <w:r>
              <w:rPr>
                <w:rFonts w:ascii="Times New Roman" w:hAnsi="Times New Roman" w:cs="Times New Roman"/>
                <w:i/>
                <w:sz w:val="28"/>
                <w:szCs w:val="28"/>
                <w:lang w:val="en-US"/>
              </w:rPr>
              <w:t>i</w:t>
            </w:r>
            <w:r>
              <w:rPr>
                <w:rFonts w:ascii="Times New Roman" w:hAnsi="Times New Roman" w:cs="Times New Roman"/>
                <w:sz w:val="28"/>
                <w:szCs w:val="28"/>
              </w:rPr>
              <w:t xml:space="preserve"> – годовая наработка </w:t>
            </w:r>
            <w:r>
              <w:rPr>
                <w:rFonts w:ascii="Times New Roman" w:hAnsi="Times New Roman" w:cs="Times New Roman"/>
                <w:sz w:val="28"/>
                <w:szCs w:val="28"/>
              </w:rPr>
              <w:br/>
              <w:t>за 3 предыдущих года от года проведения последнего расчета, ч.</w:t>
            </w:r>
          </w:p>
        </w:tc>
      </w:tr>
      <w:tr w:rsidR="005979D5" w14:paraId="4791500F" w14:textId="77777777">
        <w:trPr>
          <w:cantSplit/>
        </w:trPr>
        <w:tc>
          <w:tcPr>
            <w:tcW w:w="371" w:type="pct"/>
          </w:tcPr>
          <w:p w14:paraId="5D6482D5"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3.3.</w:t>
            </w:r>
          </w:p>
        </w:tc>
        <w:tc>
          <w:tcPr>
            <w:tcW w:w="2454" w:type="pct"/>
          </w:tcPr>
          <w:p w14:paraId="73FC007D" w14:textId="77777777" w:rsidR="005979D5" w:rsidRDefault="002B4D7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Функциональные узлы, которые не описаны в позициях 3.1 и 3.2 таблицы</w:t>
            </w:r>
          </w:p>
        </w:tc>
        <w:tc>
          <w:tcPr>
            <w:tcW w:w="2175" w:type="pct"/>
          </w:tcPr>
          <w:p w14:paraId="25ABB6D2" w14:textId="77777777" w:rsidR="005979D5" w:rsidRDefault="002B4D7C">
            <w:pPr>
              <w:pStyle w:val="ConsPlusNormal"/>
              <w:ind w:firstLine="567"/>
              <w:contextualSpacing/>
              <w:jc w:val="center"/>
              <w:rPr>
                <w:rFonts w:ascii="Times New Roman" w:hAnsi="Times New Roman" w:cs="Times New Roman"/>
                <w:sz w:val="28"/>
                <w:szCs w:val="28"/>
              </w:rPr>
            </w:pPr>
            <w:r>
              <w:rPr>
                <w:rFonts w:ascii="Times New Roman" w:hAnsi="Times New Roman" w:cs="Times New Roman"/>
                <w:sz w:val="28"/>
                <w:szCs w:val="28"/>
              </w:rPr>
              <w:t>0,03</w:t>
            </w:r>
          </w:p>
        </w:tc>
      </w:tr>
    </w:tbl>
    <w:p w14:paraId="2CB92B03" w14:textId="77777777" w:rsidR="005979D5" w:rsidRDefault="005979D5">
      <w:pPr>
        <w:spacing w:after="0" w:line="360" w:lineRule="auto"/>
        <w:ind w:firstLine="567"/>
        <w:contextualSpacing/>
        <w:rPr>
          <w:rFonts w:ascii="Times New Roman" w:hAnsi="Times New Roman" w:cs="Times New Roman"/>
          <w:sz w:val="28"/>
          <w:szCs w:val="28"/>
        </w:rPr>
      </w:pPr>
    </w:p>
    <w:p w14:paraId="56B3EA94" w14:textId="57FCE224" w:rsidR="005979D5" w:rsidRDefault="002B4D7C">
      <w:pPr>
        <w:pStyle w:val="ConsPlusNormal"/>
        <w:numPr>
          <w:ilvl w:val="0"/>
          <w:numId w:val="5"/>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Прогноз вероятности отказа функционального узла единицы основного технологического оборудования на прогнозный период</w:t>
      </w:r>
      <w:r w:rsidR="00F20EF9">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vertAlign w:val="subscript"/>
        </w:rPr>
        <w:t>ф</w:t>
      </w:r>
      <w:r>
        <w:rPr>
          <w:rFonts w:ascii="Times New Roman" w:hAnsi="Times New Roman" w:cs="Times New Roman"/>
          <w:sz w:val="28"/>
          <w:szCs w:val="28"/>
        </w:rPr>
        <w:t>(t) описывается формулой:</w:t>
      </w:r>
    </w:p>
    <w:p w14:paraId="29E60EB6" w14:textId="77777777" w:rsidR="005979D5" w:rsidRDefault="002B4D7C">
      <w:pPr>
        <w:spacing w:after="0" w:line="360" w:lineRule="auto"/>
        <w:ind w:firstLine="567"/>
        <w:contextualSpacing/>
        <w:jc w:val="center"/>
        <w:rPr>
          <w:rFonts w:ascii="Times New Roman" w:hAnsi="Times New Roman" w:cs="Times New Roman"/>
          <w:sz w:val="28"/>
          <w:szCs w:val="28"/>
        </w:rPr>
      </w:pPr>
      <w:proofErr w:type="gramStart"/>
      <w:r>
        <w:rPr>
          <w:rFonts w:ascii="Times New Roman" w:hAnsi="Times New Roman" w:cs="Times New Roman"/>
          <w:sz w:val="28"/>
          <w:szCs w:val="28"/>
          <w:lang w:val="en-US"/>
        </w:rPr>
        <w:t>p</w:t>
      </w:r>
      <w:r>
        <w:rPr>
          <w:rFonts w:ascii="Times New Roman" w:hAnsi="Times New Roman" w:cs="Times New Roman"/>
          <w:sz w:val="28"/>
          <w:szCs w:val="28"/>
          <w:vertAlign w:val="subscript"/>
        </w:rPr>
        <w:t>ф</w:t>
      </w:r>
      <w:proofErr w:type="gramEnd"/>
      <w:r>
        <w:rPr>
          <w:rFonts w:ascii="Times New Roman" w:hAnsi="Times New Roman" w:cs="Times New Roman"/>
          <w:sz w:val="28"/>
          <w:szCs w:val="28"/>
        </w:rPr>
        <w:t xml:space="preserve">(t) = (2,5 + 3,14 * </w:t>
      </w:r>
      <w:r>
        <w:rPr>
          <w:rFonts w:ascii="Times New Roman" w:hAnsi="Times New Roman" w:cs="Times New Roman"/>
          <w:sz w:val="28"/>
          <w:szCs w:val="28"/>
          <w:lang w:val="en-US"/>
        </w:rPr>
        <w:t>k</w:t>
      </w:r>
      <w:r>
        <w:rPr>
          <w:rFonts w:ascii="Times New Roman" w:hAnsi="Times New Roman" w:cs="Times New Roman"/>
          <w:sz w:val="28"/>
          <w:szCs w:val="28"/>
        </w:rPr>
        <w:t xml:space="preserve">в) * ехр (– ( 4,5 – 3,14 * </w:t>
      </w:r>
      <w:r>
        <w:rPr>
          <w:rFonts w:ascii="Times New Roman" w:hAnsi="Times New Roman" w:cs="Times New Roman"/>
          <w:sz w:val="28"/>
          <w:szCs w:val="28"/>
          <w:lang w:val="en-US"/>
        </w:rPr>
        <w:t>k</w:t>
      </w:r>
      <w:r>
        <w:rPr>
          <w:rFonts w:ascii="Times New Roman" w:hAnsi="Times New Roman" w:cs="Times New Roman"/>
          <w:sz w:val="28"/>
          <w:szCs w:val="28"/>
        </w:rPr>
        <w:t xml:space="preserve">в) *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(6)</w:t>
      </w:r>
    </w:p>
    <w:p w14:paraId="79CF2398" w14:textId="77777777" w:rsidR="005979D5" w:rsidRDefault="002B4D7C">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где:</w:t>
      </w:r>
    </w:p>
    <w:p w14:paraId="1A95895D"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lang w:val="en-US"/>
        </w:rPr>
        <w:t>k</w:t>
      </w:r>
      <w:r>
        <w:rPr>
          <w:rFonts w:ascii="Times New Roman" w:hAnsi="Times New Roman" w:cs="Times New Roman"/>
          <w:sz w:val="28"/>
          <w:szCs w:val="28"/>
        </w:rPr>
        <w:t>в</w:t>
      </w:r>
      <w:proofErr w:type="gramEnd"/>
      <w:r>
        <w:rPr>
          <w:rFonts w:ascii="Times New Roman" w:hAnsi="Times New Roman" w:cs="Times New Roman"/>
          <w:sz w:val="28"/>
          <w:szCs w:val="28"/>
        </w:rPr>
        <w:t xml:space="preserve"> – коэффициент вида технического состояния функционального узла, принимает значения:</w:t>
      </w:r>
    </w:p>
    <w:p w14:paraId="75C37419"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 – при ИТСУтв &gt; 70 (вид технического состояния «хорошее» и «очень хорошее»);</w:t>
      </w:r>
    </w:p>
    <w:p w14:paraId="6649CF94"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0,06 – при 50 &lt; ИТСУтв ≤ 70 (вид технического состояния «удовлетворительное»);</w:t>
      </w:r>
    </w:p>
    <w:p w14:paraId="38AD3B34"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0,12 – при ИТСУтв ≤ 50 (вид технического состояния «критическое» </w:t>
      </w:r>
      <w:r>
        <w:rPr>
          <w:rFonts w:ascii="Times New Roman" w:hAnsi="Times New Roman" w:cs="Times New Roman"/>
          <w:sz w:val="28"/>
          <w:szCs w:val="28"/>
        </w:rPr>
        <w:br/>
        <w:t>и «неудовлетворительное»).</w:t>
      </w:r>
    </w:p>
    <w:p w14:paraId="68C51CF2"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Если расчетная величина р</w:t>
      </w:r>
      <w:r>
        <w:rPr>
          <w:rFonts w:ascii="Times New Roman" w:hAnsi="Times New Roman" w:cs="Times New Roman"/>
          <w:sz w:val="28"/>
          <w:szCs w:val="28"/>
          <w:vertAlign w:val="subscript"/>
        </w:rPr>
        <w:t>ф</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превышает значение «1,0», то принимается величина, равная «1,0»;</w:t>
      </w:r>
    </w:p>
    <w:p w14:paraId="6CF44EB2" w14:textId="77777777" w:rsidR="005979D5" w:rsidRDefault="002B4D7C">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lang w:val="en-US"/>
        </w:rPr>
        <w:t>y</w:t>
      </w:r>
      <w:proofErr w:type="gramEnd"/>
      <w:r>
        <w:rPr>
          <w:rFonts w:ascii="Times New Roman" w:hAnsi="Times New Roman" w:cs="Times New Roman"/>
          <w:sz w:val="28"/>
          <w:szCs w:val="28"/>
        </w:rPr>
        <w:t>(</w:t>
      </w:r>
      <w:r>
        <w:rPr>
          <w:rFonts w:ascii="Times New Roman" w:hAnsi="Times New Roman" w:cs="Times New Roman"/>
          <w:i/>
          <w:iCs/>
          <w:sz w:val="28"/>
          <w:szCs w:val="28"/>
          <w:lang w:val="en-US"/>
        </w:rPr>
        <w:t>t</w:t>
      </w:r>
      <w:r>
        <w:rPr>
          <w:rFonts w:ascii="Times New Roman" w:hAnsi="Times New Roman" w:cs="Times New Roman"/>
          <w:sz w:val="28"/>
          <w:szCs w:val="28"/>
        </w:rPr>
        <w:t>) – прогноз изменения ИТС функционального узла единицы основного технологического оборудования, определяемый в соответствии с пунктом 8 Методических указаний при проведении оценки прогноза вероятности отказа функционального узла единицы основного технологического оборудования.</w:t>
      </w:r>
    </w:p>
    <w:p w14:paraId="737BFA3F" w14:textId="7A32C3A9"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вероятности отказа единицы основного технологического оборудования </w:t>
      </w:r>
      <w:r w:rsidR="00F20EF9">
        <w:rPr>
          <w:rFonts w:ascii="Times New Roman" w:hAnsi="Times New Roman" w:cs="Times New Roman"/>
          <w:sz w:val="28"/>
          <w:szCs w:val="28"/>
        </w:rPr>
        <w:t>(</w:t>
      </w:r>
      <w:r>
        <w:rPr>
          <w:rFonts w:ascii="Times New Roman" w:hAnsi="Times New Roman" w:cs="Times New Roman"/>
          <w:sz w:val="28"/>
          <w:szCs w:val="28"/>
        </w:rPr>
        <w:t>Р</w:t>
      </w:r>
      <w:r>
        <w:rPr>
          <w:rFonts w:ascii="Times New Roman" w:hAnsi="Times New Roman" w:cs="Times New Roman"/>
          <w:sz w:val="28"/>
          <w:szCs w:val="28"/>
          <w:vertAlign w:val="subscript"/>
        </w:rPr>
        <w:t>ЕО</w:t>
      </w:r>
      <w:r w:rsidR="00F20EF9">
        <w:rPr>
          <w:rFonts w:ascii="Times New Roman" w:hAnsi="Times New Roman" w:cs="Times New Roman"/>
          <w:sz w:val="28"/>
          <w:szCs w:val="28"/>
        </w:rPr>
        <w:t>)</w:t>
      </w:r>
      <w:r>
        <w:rPr>
          <w:rFonts w:ascii="Times New Roman" w:hAnsi="Times New Roman" w:cs="Times New Roman"/>
          <w:sz w:val="28"/>
          <w:szCs w:val="28"/>
        </w:rPr>
        <w:t xml:space="preserve"> рассчитывается по формуле:</w:t>
      </w:r>
    </w:p>
    <w:p w14:paraId="005121D5"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vertAlign w:val="subscript"/>
        </w:rPr>
        <w:t>ЕО</w:t>
      </w:r>
      <w:r>
        <w:rPr>
          <w:rFonts w:ascii="Times New Roman" w:hAnsi="Times New Roman" w:cs="Times New Roman"/>
          <w:sz w:val="28"/>
          <w:szCs w:val="28"/>
        </w:rPr>
        <w:t xml:space="preserve"> = </w:t>
      </w:r>
      <w:r>
        <w:rPr>
          <w:rFonts w:ascii="Times New Roman" w:hAnsi="Times New Roman" w:cs="Times New Roman"/>
          <w:sz w:val="28"/>
          <w:szCs w:val="28"/>
          <w:lang w:val="en-US"/>
        </w:rPr>
        <w:t>max</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vertAlign w:val="subscript"/>
        </w:rPr>
        <w:t>ф</w:t>
      </w:r>
      <w:r>
        <w:rPr>
          <w:rFonts w:ascii="Times New Roman" w:hAnsi="Times New Roman" w:cs="Times New Roman"/>
          <w:sz w:val="28"/>
          <w:szCs w:val="28"/>
          <w:vertAlign w:val="subscript"/>
          <w:lang w:val="en-US"/>
        </w:rPr>
        <w:t>i</w:t>
      </w:r>
      <w:r>
        <w:rPr>
          <w:rFonts w:ascii="Times New Roman" w:hAnsi="Times New Roman" w:cs="Times New Roman"/>
          <w:sz w:val="28"/>
          <w:szCs w:val="28"/>
        </w:rPr>
        <w:t>(</w:t>
      </w:r>
      <w:r>
        <w:rPr>
          <w:rFonts w:ascii="Times New Roman" w:hAnsi="Times New Roman" w:cs="Times New Roman"/>
          <w:i/>
          <w:iCs/>
          <w:sz w:val="28"/>
          <w:szCs w:val="28"/>
          <w:lang w:val="en-US"/>
        </w:rPr>
        <w:t>t</w:t>
      </w:r>
      <w:r>
        <w:rPr>
          <w:rFonts w:ascii="Times New Roman" w:hAnsi="Times New Roman" w:cs="Times New Roman"/>
          <w:sz w:val="28"/>
          <w:szCs w:val="28"/>
        </w:rPr>
        <w:t>), (7)</w:t>
      </w:r>
    </w:p>
    <w:p w14:paraId="438B9290"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5C828244" w14:textId="77777777" w:rsidR="005979D5" w:rsidRDefault="002B4D7C">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lang w:val="en-US"/>
        </w:rPr>
        <w:t>p</w:t>
      </w:r>
      <w:r>
        <w:rPr>
          <w:rFonts w:ascii="Times New Roman" w:hAnsi="Times New Roman" w:cs="Times New Roman"/>
          <w:sz w:val="28"/>
          <w:szCs w:val="28"/>
          <w:vertAlign w:val="subscript"/>
        </w:rPr>
        <w:t>ф</w:t>
      </w:r>
      <w:r>
        <w:rPr>
          <w:rFonts w:ascii="Times New Roman" w:hAnsi="Times New Roman" w:cs="Times New Roman"/>
          <w:sz w:val="28"/>
          <w:szCs w:val="28"/>
          <w:vertAlign w:val="subscript"/>
          <w:lang w:val="en-US"/>
        </w:rPr>
        <w:t>i</w:t>
      </w:r>
      <w:proofErr w:type="gramEnd"/>
      <w:r>
        <w:rPr>
          <w:rFonts w:ascii="Times New Roman" w:hAnsi="Times New Roman" w:cs="Times New Roman"/>
          <w:sz w:val="28"/>
          <w:szCs w:val="28"/>
        </w:rPr>
        <w:t>(</w:t>
      </w:r>
      <w:r>
        <w:rPr>
          <w:rFonts w:ascii="Times New Roman" w:hAnsi="Times New Roman" w:cs="Times New Roman"/>
          <w:i/>
          <w:iCs/>
          <w:sz w:val="28"/>
          <w:szCs w:val="28"/>
          <w:lang w:val="en-US"/>
        </w:rPr>
        <w:t>t</w:t>
      </w:r>
      <w:r>
        <w:rPr>
          <w:rFonts w:ascii="Times New Roman" w:hAnsi="Times New Roman" w:cs="Times New Roman"/>
          <w:sz w:val="28"/>
          <w:szCs w:val="28"/>
        </w:rPr>
        <w:t xml:space="preserve">) – прогноз изменения вероятности отказа i-того функционального узла единицы основного технологического оборудования, определяемый в соответствии </w:t>
      </w:r>
      <w:r>
        <w:rPr>
          <w:rFonts w:ascii="Times New Roman" w:hAnsi="Times New Roman" w:cs="Times New Roman"/>
          <w:sz w:val="28"/>
          <w:szCs w:val="28"/>
        </w:rPr>
        <w:br/>
        <w:t>с пунктом 10 Методических указаний.</w:t>
      </w:r>
    </w:p>
    <w:p w14:paraId="15CC5EC5" w14:textId="77777777" w:rsidR="005979D5" w:rsidRDefault="005979D5">
      <w:pPr>
        <w:pStyle w:val="ConsPlusTitle"/>
        <w:spacing w:line="360" w:lineRule="auto"/>
        <w:ind w:firstLine="567"/>
        <w:contextualSpacing/>
        <w:jc w:val="center"/>
        <w:outlineLvl w:val="0"/>
        <w:rPr>
          <w:rFonts w:ascii="Times New Roman" w:hAnsi="Times New Roman" w:cs="Times New Roman"/>
          <w:b w:val="0"/>
          <w:sz w:val="28"/>
          <w:szCs w:val="28"/>
        </w:rPr>
      </w:pPr>
    </w:p>
    <w:p w14:paraId="5C5C6CE7" w14:textId="77777777" w:rsidR="005979D5" w:rsidRDefault="002B4D7C">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III. Оценка последствий отказа функционального узла и единицы основного технологического оборудования</w:t>
      </w:r>
    </w:p>
    <w:p w14:paraId="60CAC2BE" w14:textId="77777777" w:rsidR="005979D5" w:rsidRDefault="005979D5">
      <w:pPr>
        <w:pStyle w:val="ConsPlusTitle"/>
        <w:contextualSpacing/>
        <w:jc w:val="center"/>
        <w:outlineLvl w:val="0"/>
        <w:rPr>
          <w:rFonts w:ascii="Times New Roman" w:hAnsi="Times New Roman" w:cs="Times New Roman"/>
          <w:sz w:val="28"/>
          <w:szCs w:val="28"/>
        </w:rPr>
      </w:pPr>
    </w:p>
    <w:p w14:paraId="5D9DD148"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Последствия отказа функционального узла и единицы основного технологического оборудования определяются в соответствии с пунктами 15 – 24 Методических указаний и измеряются в денежном выражении. </w:t>
      </w:r>
    </w:p>
    <w:p w14:paraId="0A72A455"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Оценка последствий отказа единицы основного технологического оборудования или ее функционального узла проводится для определения:</w:t>
      </w:r>
    </w:p>
    <w:p w14:paraId="6B16F6F1" w14:textId="187167EE"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затрат, связанных с отказом единицы основного технологического оборудования, включая фактические затраты на восстановление работоспособности данной единицы, для оформления акта </w:t>
      </w:r>
      <w:r w:rsidR="00F20EF9">
        <w:rPr>
          <w:rFonts w:ascii="Times New Roman" w:hAnsi="Times New Roman" w:cs="Times New Roman"/>
          <w:sz w:val="28"/>
          <w:szCs w:val="28"/>
        </w:rPr>
        <w:t>п</w:t>
      </w:r>
      <w:r>
        <w:rPr>
          <w:rFonts w:ascii="Times New Roman" w:hAnsi="Times New Roman" w:cs="Times New Roman"/>
          <w:sz w:val="28"/>
          <w:szCs w:val="28"/>
        </w:rPr>
        <w:t>о</w:t>
      </w:r>
      <w:r w:rsidR="00F20EF9">
        <w:rPr>
          <w:rFonts w:ascii="Times New Roman" w:hAnsi="Times New Roman" w:cs="Times New Roman"/>
          <w:sz w:val="28"/>
          <w:szCs w:val="28"/>
        </w:rPr>
        <w:t xml:space="preserve"> результат</w:t>
      </w:r>
      <w:r w:rsidR="006A2282">
        <w:rPr>
          <w:rFonts w:ascii="Times New Roman" w:hAnsi="Times New Roman" w:cs="Times New Roman"/>
          <w:sz w:val="28"/>
          <w:szCs w:val="28"/>
        </w:rPr>
        <w:t>ам</w:t>
      </w:r>
      <w:r>
        <w:rPr>
          <w:rFonts w:ascii="Times New Roman" w:hAnsi="Times New Roman" w:cs="Times New Roman"/>
          <w:sz w:val="28"/>
          <w:szCs w:val="28"/>
        </w:rPr>
        <w:t xml:space="preserve"> расследовани</w:t>
      </w:r>
      <w:r w:rsidR="00F20EF9">
        <w:rPr>
          <w:rFonts w:ascii="Times New Roman" w:hAnsi="Times New Roman" w:cs="Times New Roman"/>
          <w:sz w:val="28"/>
          <w:szCs w:val="28"/>
        </w:rPr>
        <w:t>я</w:t>
      </w:r>
      <w:r>
        <w:rPr>
          <w:rFonts w:ascii="Times New Roman" w:hAnsi="Times New Roman" w:cs="Times New Roman"/>
          <w:sz w:val="28"/>
          <w:szCs w:val="28"/>
        </w:rPr>
        <w:t xml:space="preserve"> причин аварий и инцидентов в электроэнергетике в соответствии с </w:t>
      </w:r>
      <w:r w:rsidR="006A2282">
        <w:rPr>
          <w:rFonts w:ascii="Times New Roman" w:eastAsia="SimSun" w:hAnsi="Times New Roman" w:cs="Times New Roman"/>
          <w:sz w:val="28"/>
          <w:szCs w:val="28"/>
          <w:lang w:eastAsia="ru-RU"/>
        </w:rPr>
        <w:t>требованиями к</w:t>
      </w:r>
      <w:r w:rsidR="006A2282">
        <w:rPr>
          <w:rFonts w:ascii="Times New Roman" w:hAnsi="Times New Roman" w:cs="Times New Roman"/>
          <w:sz w:val="28"/>
          <w:szCs w:val="28"/>
        </w:rPr>
        <w:t xml:space="preserve"> заполнению форм актов по результатам расследовании причин аварий и инцидентов в электроэнергетике</w:t>
      </w:r>
      <w:r>
        <w:rPr>
          <w:rFonts w:ascii="Times New Roman" w:hAnsi="Times New Roman" w:cs="Times New Roman"/>
          <w:sz w:val="28"/>
          <w:szCs w:val="28"/>
        </w:rPr>
        <w:t>, утвержденным</w:t>
      </w:r>
      <w:r w:rsidR="006A2282">
        <w:rPr>
          <w:rFonts w:ascii="Times New Roman" w:hAnsi="Times New Roman" w:cs="Times New Roman"/>
          <w:sz w:val="28"/>
          <w:szCs w:val="28"/>
        </w:rPr>
        <w:t>и</w:t>
      </w:r>
      <w:r>
        <w:rPr>
          <w:rFonts w:ascii="Times New Roman" w:hAnsi="Times New Roman" w:cs="Times New Roman"/>
          <w:sz w:val="28"/>
          <w:szCs w:val="28"/>
        </w:rPr>
        <w:t xml:space="preserve"> приказом Минэнерго России от </w:t>
      </w:r>
      <w:r w:rsidR="00124360">
        <w:rPr>
          <w:rFonts w:ascii="Times New Roman" w:hAnsi="Times New Roman" w:cs="Times New Roman"/>
          <w:sz w:val="28"/>
          <w:szCs w:val="28"/>
        </w:rPr>
        <w:t>___________</w:t>
      </w:r>
      <w:r>
        <w:rPr>
          <w:rFonts w:ascii="Times New Roman" w:hAnsi="Times New Roman" w:cs="Times New Roman"/>
          <w:sz w:val="28"/>
          <w:szCs w:val="28"/>
        </w:rPr>
        <w:t xml:space="preserve"> № </w:t>
      </w:r>
      <w:r w:rsidR="00124360">
        <w:rPr>
          <w:rFonts w:ascii="Times New Roman" w:hAnsi="Times New Roman" w:cs="Times New Roman"/>
          <w:sz w:val="28"/>
          <w:szCs w:val="28"/>
        </w:rPr>
        <w:t>___________</w:t>
      </w:r>
      <w:r>
        <w:rPr>
          <w:rStyle w:val="FootnoteReference"/>
          <w:rFonts w:ascii="Times New Roman" w:hAnsi="Times New Roman" w:cs="Times New Roman"/>
          <w:sz w:val="28"/>
          <w:szCs w:val="28"/>
        </w:rPr>
        <w:footnoteReference w:id="3"/>
      </w:r>
      <w:r w:rsidR="00124360">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FF3F74">
        <w:rPr>
          <w:rFonts w:ascii="Times New Roman" w:hAnsi="Times New Roman" w:cs="Times New Roman"/>
          <w:sz w:val="28"/>
          <w:szCs w:val="28"/>
        </w:rPr>
        <w:t>Требования</w:t>
      </w:r>
      <w:r>
        <w:rPr>
          <w:rFonts w:ascii="Times New Roman" w:hAnsi="Times New Roman" w:cs="Times New Roman"/>
          <w:sz w:val="28"/>
          <w:szCs w:val="28"/>
        </w:rPr>
        <w:t>);</w:t>
      </w:r>
    </w:p>
    <w:p w14:paraId="54C71CF8" w14:textId="77777777"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прогнозных затрат при оценке технических рисков для целей, указанных в пункте 2 Методических указаний (далее – оценка рисков).</w:t>
      </w:r>
    </w:p>
    <w:p w14:paraId="75AF3506"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Оценка последствий отказа единицы основного технологического оборудования или ее функционального узла проводится:</w:t>
      </w:r>
    </w:p>
    <w:p w14:paraId="5D922CB3"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каждой единицы основного технологического оборудования, входящей </w:t>
      </w:r>
      <w:r>
        <w:rPr>
          <w:rFonts w:ascii="Times New Roman" w:hAnsi="Times New Roman" w:cs="Times New Roman"/>
          <w:sz w:val="28"/>
          <w:szCs w:val="28"/>
        </w:rPr>
        <w:br/>
        <w:t xml:space="preserve">в состав технологической цепочки на объекте генерации (далее – электростанция), </w:t>
      </w:r>
      <w:r>
        <w:rPr>
          <w:rFonts w:ascii="Times New Roman" w:hAnsi="Times New Roman" w:cs="Times New Roman"/>
          <w:sz w:val="28"/>
          <w:szCs w:val="28"/>
        </w:rPr>
        <w:br/>
        <w:t xml:space="preserve">в соответствии с пунктом 3.11 методики оценки технического состояния или если за последние 5 лет эксплуатации электростанции нарушение или прекращение функционирования единицы оборудования из той же группы основного технологического оборудования, указанной в пункте 3 Методических указаний, привело к нарушению или прекращению функционирования другого основного технологического оборудования этой электростанции, – в соответствии с пунктом </w:t>
      </w:r>
      <w:r>
        <w:rPr>
          <w:rFonts w:ascii="Times New Roman" w:hAnsi="Times New Roman" w:cs="Times New Roman"/>
          <w:sz w:val="28"/>
          <w:szCs w:val="28"/>
        </w:rPr>
        <w:br/>
        <w:t>20 Методических указаний;</w:t>
      </w:r>
    </w:p>
    <w:p w14:paraId="4BC9C33E" w14:textId="77777777" w:rsidR="005979D5" w:rsidRDefault="002B4D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каждой единицы основного технологического оборудования объекта электросетевого хозяйства, если нарушение или прекращение функционирования </w:t>
      </w:r>
      <w:r>
        <w:rPr>
          <w:rFonts w:ascii="Times New Roman" w:hAnsi="Times New Roman" w:cs="Times New Roman"/>
          <w:sz w:val="28"/>
          <w:szCs w:val="28"/>
        </w:rPr>
        <w:t xml:space="preserve">единицы оборудования из той же группы основного технологического оборудования, указанной в пункте 3 Методических указаний, </w:t>
      </w:r>
      <w:r>
        <w:rPr>
          <w:rFonts w:ascii="Times New Roman" w:eastAsia="Times New Roman" w:hAnsi="Times New Roman" w:cs="Times New Roman"/>
          <w:sz w:val="28"/>
          <w:szCs w:val="28"/>
          <w:lang w:eastAsia="ru-RU"/>
        </w:rPr>
        <w:t>на данном объекте электросетевого</w:t>
      </w:r>
      <w:r>
        <w:rPr>
          <w:rStyle w:val="CommentReference"/>
        </w:rPr>
        <w:t xml:space="preserve"> </w:t>
      </w:r>
      <w:r>
        <w:rPr>
          <w:rFonts w:ascii="Times New Roman" w:eastAsia="Times New Roman" w:hAnsi="Times New Roman" w:cs="Times New Roman"/>
          <w:sz w:val="28"/>
          <w:szCs w:val="28"/>
          <w:lang w:eastAsia="ru-RU"/>
        </w:rPr>
        <w:t xml:space="preserve">хозяйства за последние 5 лет эксплуатации привело к нарушению или прекращению функционирования другого основного технологического оборудования этого объекта электросетевого хозяйства, – в соответствии с пунктом </w:t>
      </w:r>
      <w:hyperlink w:anchor="P238" w:tooltip="#P238" w:history="1">
        <w:r>
          <w:rPr>
            <w:rFonts w:ascii="Times New Roman" w:eastAsia="Times New Roman" w:hAnsi="Times New Roman" w:cs="Times New Roman"/>
            <w:sz w:val="28"/>
            <w:szCs w:val="28"/>
            <w:lang w:eastAsia="ru-RU"/>
          </w:rPr>
          <w:t>2</w:t>
        </w:r>
      </w:hyperlink>
      <w:r>
        <w:rPr>
          <w:rFonts w:ascii="Times New Roman" w:eastAsia="Times New Roman" w:hAnsi="Times New Roman" w:cs="Times New Roman"/>
          <w:sz w:val="28"/>
          <w:szCs w:val="28"/>
          <w:lang w:eastAsia="ru-RU"/>
        </w:rPr>
        <w:t>3 Методических указаний;</w:t>
      </w:r>
    </w:p>
    <w:p w14:paraId="1653F0CD" w14:textId="77777777" w:rsidR="005979D5" w:rsidRDefault="002B4D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каждой единицы основного технологического оборудования </w:t>
      </w:r>
      <w:r>
        <w:rPr>
          <w:rFonts w:ascii="Times New Roman" w:hAnsi="Times New Roman" w:cs="Times New Roman"/>
          <w:sz w:val="28"/>
          <w:szCs w:val="28"/>
        </w:rPr>
        <w:t xml:space="preserve">электростанции или </w:t>
      </w:r>
      <w:r>
        <w:rPr>
          <w:rFonts w:ascii="Times New Roman" w:eastAsia="Times New Roman" w:hAnsi="Times New Roman" w:cs="Times New Roman"/>
          <w:sz w:val="28"/>
          <w:szCs w:val="28"/>
          <w:lang w:eastAsia="ru-RU"/>
        </w:rPr>
        <w:t xml:space="preserve">объекта электросетевого хозяйства, если нарушение или прекращение функционирования </w:t>
      </w:r>
      <w:r>
        <w:rPr>
          <w:rFonts w:ascii="Times New Roman" w:hAnsi="Times New Roman" w:cs="Times New Roman"/>
          <w:sz w:val="28"/>
          <w:szCs w:val="28"/>
        </w:rPr>
        <w:t>единицы оборудования из той же группы основного технологического оборудования, указанной в пункте 3 Методических указаний,</w:t>
      </w:r>
      <w:r>
        <w:rPr>
          <w:rFonts w:ascii="Times New Roman" w:eastAsia="Times New Roman" w:hAnsi="Times New Roman" w:cs="Times New Roman"/>
          <w:sz w:val="28"/>
          <w:szCs w:val="28"/>
          <w:lang w:eastAsia="ru-RU"/>
        </w:rPr>
        <w:t xml:space="preserve"> на данной </w:t>
      </w:r>
      <w:r>
        <w:rPr>
          <w:rFonts w:ascii="Times New Roman" w:hAnsi="Times New Roman" w:cs="Times New Roman"/>
          <w:sz w:val="28"/>
          <w:szCs w:val="28"/>
        </w:rPr>
        <w:t xml:space="preserve">электростанции или </w:t>
      </w:r>
      <w:r>
        <w:rPr>
          <w:rFonts w:ascii="Times New Roman" w:eastAsia="Times New Roman" w:hAnsi="Times New Roman" w:cs="Times New Roman"/>
          <w:sz w:val="28"/>
          <w:szCs w:val="28"/>
          <w:lang w:eastAsia="ru-RU"/>
        </w:rPr>
        <w:t xml:space="preserve">объекте электросетевого хозяйства за последние 5 лет эксплуатации привело к нарушению или прекращению функционирования основного технологического оборудования другого объекта (других объектов) электроэнергетики, – в соответствии с пунктом </w:t>
      </w:r>
      <w:hyperlink w:anchor="P238" w:tooltip="#P238" w:history="1">
        <w:r>
          <w:rPr>
            <w:rFonts w:ascii="Times New Roman" w:eastAsia="Times New Roman" w:hAnsi="Times New Roman" w:cs="Times New Roman"/>
            <w:sz w:val="28"/>
            <w:szCs w:val="28"/>
            <w:lang w:eastAsia="ru-RU"/>
          </w:rPr>
          <w:t>2</w:t>
        </w:r>
      </w:hyperlink>
      <w:r>
        <w:rPr>
          <w:rFonts w:ascii="Times New Roman" w:eastAsia="Times New Roman" w:hAnsi="Times New Roman" w:cs="Times New Roman"/>
          <w:sz w:val="28"/>
          <w:szCs w:val="28"/>
          <w:lang w:eastAsia="ru-RU"/>
        </w:rPr>
        <w:t>4 Методических указаний;</w:t>
      </w:r>
    </w:p>
    <w:p w14:paraId="2D49A2B2" w14:textId="77777777" w:rsidR="005979D5" w:rsidRDefault="002B4D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для всех единиц основного технологического оборудования – в соответствии с пунктом </w:t>
      </w:r>
      <w:hyperlink w:anchor="P238" w:tooltip="#P238" w:history="1">
        <w:r>
          <w:rPr>
            <w:rFonts w:ascii="Times New Roman" w:eastAsia="Times New Roman" w:hAnsi="Times New Roman" w:cs="Times New Roman"/>
            <w:sz w:val="28"/>
            <w:szCs w:val="28"/>
            <w:lang w:eastAsia="ru-RU"/>
          </w:rPr>
          <w:t>1</w:t>
        </w:r>
      </w:hyperlink>
      <w:r>
        <w:rPr>
          <w:rFonts w:ascii="Times New Roman" w:eastAsia="Times New Roman" w:hAnsi="Times New Roman" w:cs="Times New Roman"/>
          <w:sz w:val="28"/>
          <w:szCs w:val="28"/>
          <w:lang w:eastAsia="ru-RU"/>
        </w:rPr>
        <w:t>5 Методических указаний.</w:t>
      </w:r>
    </w:p>
    <w:p w14:paraId="7CF33F4E" w14:textId="5317FC05"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последствий отказа единицы основного технологического оборудования </w:t>
      </w:r>
      <w:r w:rsidR="006F22EE">
        <w:rPr>
          <w:rFonts w:ascii="Times New Roman" w:hAnsi="Times New Roman" w:cs="Times New Roman"/>
          <w:sz w:val="28"/>
          <w:szCs w:val="28"/>
        </w:rPr>
        <w:t>(</w:t>
      </w:r>
      <w:r>
        <w:rPr>
          <w:rFonts w:ascii="Times New Roman" w:hAnsi="Times New Roman" w:cs="Times New Roman"/>
          <w:sz w:val="28"/>
          <w:szCs w:val="28"/>
        </w:rPr>
        <w:t>П</w:t>
      </w:r>
      <w:r>
        <w:rPr>
          <w:rFonts w:ascii="Times New Roman" w:hAnsi="Times New Roman" w:cs="Times New Roman"/>
          <w:sz w:val="28"/>
          <w:szCs w:val="28"/>
          <w:vertAlign w:val="subscript"/>
        </w:rPr>
        <w:t>ЕО</w:t>
      </w:r>
      <w:r w:rsidR="006F22EE">
        <w:rPr>
          <w:rFonts w:ascii="Times New Roman" w:hAnsi="Times New Roman" w:cs="Times New Roman"/>
          <w:sz w:val="28"/>
          <w:szCs w:val="28"/>
        </w:rPr>
        <w:t>)</w:t>
      </w:r>
      <w:r>
        <w:rPr>
          <w:rFonts w:ascii="Times New Roman" w:hAnsi="Times New Roman" w:cs="Times New Roman"/>
          <w:sz w:val="28"/>
          <w:szCs w:val="28"/>
        </w:rPr>
        <w:t xml:space="preserve"> проводится по формуле, включающей показатели затрат, определяемые для целей Методических указаний: </w:t>
      </w:r>
    </w:p>
    <w:p w14:paraId="509051AB"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ЕО</w:t>
      </w:r>
      <w:r>
        <w:rPr>
          <w:rFonts w:ascii="Times New Roman" w:hAnsi="Times New Roman" w:cs="Times New Roman"/>
          <w:sz w:val="28"/>
          <w:szCs w:val="28"/>
        </w:rPr>
        <w:t xml:space="preserve"> = Уотк + Упп+ Унедовыраб, (8)</w:t>
      </w:r>
    </w:p>
    <w:p w14:paraId="4B99FC2A" w14:textId="77777777" w:rsidR="005979D5" w:rsidRDefault="002B4D7C">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где:</w:t>
      </w:r>
    </w:p>
    <w:p w14:paraId="6D6BB870"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Уотк – показатель затрат, непосредственно связанный с отказом единицы основного технологического оборудования, определяемый в соответствии с пунктом 16 Методических указаний;</w:t>
      </w:r>
    </w:p>
    <w:p w14:paraId="588F9114"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Упп – показатель затрат, </w:t>
      </w:r>
      <w:r>
        <w:rPr>
          <w:rFonts w:ascii="Times New Roman" w:hAnsi="Times New Roman" w:cs="Times New Roman"/>
          <w:sz w:val="28"/>
          <w:szCs w:val="28"/>
        </w:rPr>
        <w:t>связанный</w:t>
      </w:r>
      <w:r>
        <w:rPr>
          <w:rFonts w:ascii="Times New Roman" w:eastAsia="Times New Roman" w:hAnsi="Times New Roman" w:cs="Times New Roman"/>
          <w:sz w:val="28"/>
          <w:szCs w:val="28"/>
          <w:lang w:eastAsia="ru-RU"/>
        </w:rPr>
        <w:t xml:space="preserve"> с невыполнением электросетевыми компаниями обязательств перед потребителями электрической энергии из-за нарушения функционирования единицы основного технологического оборудования после отказа, определяемый в соответствии с пунктом 18 Методических указаний;</w:t>
      </w:r>
    </w:p>
    <w:p w14:paraId="16BD97CA"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Унедовыраб – показатель затрат, зависящий от недовыработки электростанцией электрической и тепловой энергии при отказе единицы основного технологического оборудования,</w:t>
      </w:r>
      <w:r>
        <w:rPr>
          <w:rFonts w:ascii="Times New Roman" w:eastAsia="Times New Roman" w:hAnsi="Times New Roman" w:cs="Times New Roman"/>
          <w:sz w:val="28"/>
          <w:szCs w:val="28"/>
          <w:lang w:eastAsia="ru-RU"/>
        </w:rPr>
        <w:t xml:space="preserve"> определяемый в соответствии с пунктом 19 Методических указаний</w:t>
      </w:r>
      <w:r>
        <w:rPr>
          <w:rFonts w:ascii="Times New Roman" w:hAnsi="Times New Roman" w:cs="Times New Roman"/>
          <w:sz w:val="28"/>
          <w:szCs w:val="28"/>
        </w:rPr>
        <w:t>.</w:t>
      </w:r>
    </w:p>
    <w:p w14:paraId="0274ECF7" w14:textId="51A57059"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затрат, непосредственно связанный с отказом единицы основного технологического оборудования </w:t>
      </w:r>
      <w:r w:rsidR="006F22EE">
        <w:rPr>
          <w:rFonts w:ascii="Times New Roman" w:hAnsi="Times New Roman" w:cs="Times New Roman"/>
          <w:sz w:val="28"/>
          <w:szCs w:val="28"/>
        </w:rPr>
        <w:t>(</w:t>
      </w:r>
      <w:r>
        <w:rPr>
          <w:rFonts w:ascii="Times New Roman" w:hAnsi="Times New Roman" w:cs="Times New Roman"/>
          <w:sz w:val="28"/>
          <w:szCs w:val="28"/>
        </w:rPr>
        <w:t>Уотк</w:t>
      </w:r>
      <w:r w:rsidR="006F22EE">
        <w:rPr>
          <w:rFonts w:ascii="Times New Roman" w:hAnsi="Times New Roman" w:cs="Times New Roman"/>
          <w:sz w:val="28"/>
          <w:szCs w:val="28"/>
        </w:rPr>
        <w:t>)</w:t>
      </w:r>
      <w:r>
        <w:rPr>
          <w:rFonts w:ascii="Times New Roman" w:hAnsi="Times New Roman" w:cs="Times New Roman"/>
          <w:sz w:val="28"/>
          <w:szCs w:val="28"/>
        </w:rPr>
        <w:t>, определяется по формуле в ценах, сложившихся на календарную дату расчета:</w:t>
      </w:r>
    </w:p>
    <w:p w14:paraId="2F40E1FC"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Уотк = Звр + Зпр+ Уэк + Ужл + Увз, (9)</w:t>
      </w:r>
    </w:p>
    <w:p w14:paraId="672A49D3"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5C5F1637"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Звр – затраты на восстановление работоспособности единицы основного технологического оборудования после отказа, определяемые в соответствии с пунктом 17 Методических указаний;</w:t>
      </w:r>
    </w:p>
    <w:p w14:paraId="46E431C5"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Зпр – затраты на тушение пожара, проведение спасательных работ, транспортные расходы при ликвидации (локализации) технологического нарушения, аварии или инцидента, а также расходы на расследование аварии или инцидента без учета налога на добавленную стоимость (далее – НДС), руб. </w:t>
      </w:r>
    </w:p>
    <w:p w14:paraId="3B561AB9" w14:textId="210CBD2A"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оценки риска отказа единицы основного технологического оборудования принимается наибольшая за последние 5 лет величина затрат, указанная в актах </w:t>
      </w:r>
      <w:r>
        <w:rPr>
          <w:rFonts w:ascii="Times New Roman" w:hAnsi="Times New Roman" w:cs="Times New Roman"/>
          <w:sz w:val="28"/>
          <w:szCs w:val="28"/>
        </w:rPr>
        <w:br/>
      </w:r>
      <w:r w:rsidR="005330BC">
        <w:rPr>
          <w:rFonts w:ascii="Times New Roman" w:hAnsi="Times New Roman" w:cs="Times New Roman"/>
          <w:sz w:val="28"/>
          <w:szCs w:val="28"/>
        </w:rPr>
        <w:t>п</w:t>
      </w:r>
      <w:r>
        <w:rPr>
          <w:rFonts w:ascii="Times New Roman" w:hAnsi="Times New Roman" w:cs="Times New Roman"/>
          <w:sz w:val="28"/>
          <w:szCs w:val="28"/>
        </w:rPr>
        <w:t>о</w:t>
      </w:r>
      <w:r w:rsidR="005330BC">
        <w:rPr>
          <w:rFonts w:ascii="Times New Roman" w:hAnsi="Times New Roman" w:cs="Times New Roman"/>
          <w:sz w:val="28"/>
          <w:szCs w:val="28"/>
        </w:rPr>
        <w:t xml:space="preserve"> результатам</w:t>
      </w:r>
      <w:r>
        <w:rPr>
          <w:rFonts w:ascii="Times New Roman" w:hAnsi="Times New Roman" w:cs="Times New Roman"/>
          <w:sz w:val="28"/>
          <w:szCs w:val="28"/>
        </w:rPr>
        <w:t xml:space="preserve"> расследовани</w:t>
      </w:r>
      <w:r w:rsidR="005330BC">
        <w:rPr>
          <w:rFonts w:ascii="Times New Roman" w:hAnsi="Times New Roman" w:cs="Times New Roman"/>
          <w:sz w:val="28"/>
          <w:szCs w:val="28"/>
        </w:rPr>
        <w:t>я</w:t>
      </w:r>
      <w:r>
        <w:rPr>
          <w:rFonts w:ascii="Times New Roman" w:hAnsi="Times New Roman" w:cs="Times New Roman"/>
          <w:sz w:val="28"/>
          <w:szCs w:val="28"/>
        </w:rPr>
        <w:t xml:space="preserve"> причин аварий и инцидентов в электроэнергетике в соответствии с </w:t>
      </w:r>
      <w:r w:rsidR="00FB40A2">
        <w:rPr>
          <w:rFonts w:ascii="Times New Roman" w:hAnsi="Times New Roman" w:cs="Times New Roman"/>
          <w:sz w:val="28"/>
          <w:szCs w:val="28"/>
        </w:rPr>
        <w:t>Требованиями</w:t>
      </w:r>
      <w:r>
        <w:rPr>
          <w:rFonts w:ascii="Times New Roman" w:hAnsi="Times New Roman" w:cs="Times New Roman"/>
          <w:sz w:val="28"/>
          <w:szCs w:val="28"/>
        </w:rPr>
        <w:t>;</w:t>
      </w:r>
    </w:p>
    <w:p w14:paraId="714C01F9"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Уэк – совокупность платежей (штрафов) за полное возмещение из-за причинения вреда окружающей среде в соответствии со статьей 77 Федерального закона от 10 января 2002 г. № 7-ФЗ «Об охране окружающей среды», возникшего вследствие отказа единицы основного технологического оборудования, (без НДС) руб.;</w:t>
      </w:r>
    </w:p>
    <w:p w14:paraId="0BF49456"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Ужл – затраты на компенсацию нанесенного вследствие отказа единицы основного технологического оборудования вреда жизни персонала, определенные </w:t>
      </w:r>
      <w:r>
        <w:rPr>
          <w:rFonts w:ascii="Times New Roman" w:hAnsi="Times New Roman" w:cs="Times New Roman"/>
          <w:sz w:val="28"/>
          <w:szCs w:val="28"/>
        </w:rPr>
        <w:br/>
        <w:t xml:space="preserve">в соответствии со статьей 22 Федерального закона от 24 июля 1998 г. № 125-ФЗ </w:t>
      </w:r>
      <w:r>
        <w:rPr>
          <w:rFonts w:ascii="Times New Roman" w:hAnsi="Times New Roman" w:cs="Times New Roman"/>
          <w:sz w:val="28"/>
          <w:szCs w:val="28"/>
        </w:rPr>
        <w:br/>
        <w:t xml:space="preserve">«Об обязательном социальном страховании от несчастных случаев на производстве </w:t>
      </w:r>
      <w:r>
        <w:rPr>
          <w:rFonts w:ascii="Times New Roman" w:hAnsi="Times New Roman" w:cs="Times New Roman"/>
          <w:sz w:val="28"/>
          <w:szCs w:val="28"/>
        </w:rPr>
        <w:br/>
        <w:t>и профессиональных заболеваний», руб.;</w:t>
      </w:r>
    </w:p>
    <w:p w14:paraId="40EB69DB"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Увз – затраты на компенсацию нанесенного вследствие отказа единицы основного технологического оборудования вреда здоровью персонала, определенные в соответствии со статьей 22 Федерального закона от 24 июля 1998 г. № 125-ФЗ </w:t>
      </w:r>
      <w:r>
        <w:rPr>
          <w:rFonts w:ascii="Times New Roman" w:hAnsi="Times New Roman" w:cs="Times New Roman"/>
          <w:sz w:val="28"/>
          <w:szCs w:val="28"/>
        </w:rPr>
        <w:br/>
        <w:t xml:space="preserve">«Об обязательном социальном страховании от несчастных случаев на производстве </w:t>
      </w:r>
      <w:r>
        <w:rPr>
          <w:rFonts w:ascii="Times New Roman" w:hAnsi="Times New Roman" w:cs="Times New Roman"/>
          <w:sz w:val="28"/>
          <w:szCs w:val="28"/>
        </w:rPr>
        <w:br/>
        <w:t>и профессиональных заболеваний», руб.;</w:t>
      </w:r>
    </w:p>
    <w:p w14:paraId="2248BC65" w14:textId="00C1B17A"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Фактические значения Уэк, Ужл, Увз применяются для расчета затрат последствий аварий или инцидентов при оформлении акта </w:t>
      </w:r>
      <w:r w:rsidR="005330BC">
        <w:rPr>
          <w:rFonts w:ascii="Times New Roman" w:hAnsi="Times New Roman" w:cs="Times New Roman"/>
          <w:sz w:val="28"/>
          <w:szCs w:val="28"/>
        </w:rPr>
        <w:t>п</w:t>
      </w:r>
      <w:r>
        <w:rPr>
          <w:rFonts w:ascii="Times New Roman" w:hAnsi="Times New Roman" w:cs="Times New Roman"/>
          <w:sz w:val="28"/>
          <w:szCs w:val="28"/>
        </w:rPr>
        <w:t xml:space="preserve">о </w:t>
      </w:r>
      <w:r w:rsidR="005330BC">
        <w:rPr>
          <w:rFonts w:ascii="Times New Roman" w:hAnsi="Times New Roman" w:cs="Times New Roman"/>
          <w:sz w:val="28"/>
          <w:szCs w:val="28"/>
        </w:rPr>
        <w:t xml:space="preserve">результатам </w:t>
      </w:r>
      <w:r>
        <w:rPr>
          <w:rFonts w:ascii="Times New Roman" w:hAnsi="Times New Roman" w:cs="Times New Roman"/>
          <w:sz w:val="28"/>
          <w:szCs w:val="28"/>
        </w:rPr>
        <w:t>расследовани</w:t>
      </w:r>
      <w:r w:rsidR="005330BC">
        <w:rPr>
          <w:rFonts w:ascii="Times New Roman" w:hAnsi="Times New Roman" w:cs="Times New Roman"/>
          <w:sz w:val="28"/>
          <w:szCs w:val="28"/>
        </w:rPr>
        <w:t>я</w:t>
      </w:r>
      <w:r>
        <w:rPr>
          <w:rFonts w:ascii="Times New Roman" w:hAnsi="Times New Roman" w:cs="Times New Roman"/>
          <w:sz w:val="28"/>
          <w:szCs w:val="28"/>
        </w:rPr>
        <w:t xml:space="preserve"> причин аварий и инцидентов в электроэнергетике. Для оценки рисков Уэк, Ужл, Увз не используются.</w:t>
      </w:r>
    </w:p>
    <w:p w14:paraId="5B702D41" w14:textId="1154F5D8"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Затраты на восстановление работоспособности единицы основного технологического оборудования после отказа </w:t>
      </w:r>
      <w:r w:rsidR="005330BC">
        <w:rPr>
          <w:rFonts w:ascii="Times New Roman" w:hAnsi="Times New Roman" w:cs="Times New Roman"/>
          <w:sz w:val="28"/>
          <w:szCs w:val="28"/>
        </w:rPr>
        <w:t>(</w:t>
      </w:r>
      <w:r>
        <w:rPr>
          <w:rFonts w:ascii="Times New Roman" w:hAnsi="Times New Roman" w:cs="Times New Roman"/>
          <w:sz w:val="28"/>
          <w:szCs w:val="28"/>
        </w:rPr>
        <w:t>Звр</w:t>
      </w:r>
      <w:r w:rsidR="005330BC">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рассчитываются по формуле:</w:t>
      </w:r>
    </w:p>
    <w:p w14:paraId="7FE35773" w14:textId="77777777" w:rsidR="005979D5" w:rsidRDefault="002B4D7C">
      <w:pPr>
        <w:spacing w:after="0" w:line="353"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Звр = Ззч+Зср+ Змдр, (10)</w:t>
      </w:r>
    </w:p>
    <w:p w14:paraId="4F9EDC86"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1C7EE35D"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Ззч – фактическая стоимость запасных частей, востребованных на календарную дату восстановления работоспособности основного технологического оборудования, без учета НДС, руб. </w:t>
      </w:r>
    </w:p>
    <w:p w14:paraId="4AE522BA"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оценки рисков – стоимость новой единицы оборудования – аналога не подлежащей восстановлению единицы основного технологического оборудования (для ЛЭП – стоимость замены участка сегмента протяженностью 2 км), без учета НДС, руб.;</w:t>
      </w:r>
    </w:p>
    <w:p w14:paraId="53721F66"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Зср – фактические затраты на календарную дату завершения ремонтных работ по восстановлению работоспособности единицы основного технологического оборудования после отказа без учета НДС, руб., используемые в расчете при их наличии и не учитываемые при оценке рисков;</w:t>
      </w:r>
    </w:p>
    <w:p w14:paraId="5C2B601F"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Змдр – фактические затраты на календарную дату завершения сборки-разборки или монтажных и демонтажных работ при восстановлении работоспособности после отказа единицы основного технологического оборудования без учета НДС, руб., используемые в расчете при их наличии и не учитываемые при оценке рисков. </w:t>
      </w:r>
    </w:p>
    <w:p w14:paraId="07137DD3" w14:textId="71CF9948" w:rsidR="005979D5" w:rsidRDefault="002B4D7C">
      <w:pPr>
        <w:pStyle w:val="ListParagraph"/>
        <w:numPr>
          <w:ilvl w:val="0"/>
          <w:numId w:val="5"/>
        </w:numPr>
        <w:spacing w:after="0" w:line="353"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Показатель затрат, </w:t>
      </w:r>
      <w:r>
        <w:rPr>
          <w:rFonts w:ascii="Times New Roman" w:hAnsi="Times New Roman" w:cs="Times New Roman"/>
          <w:sz w:val="28"/>
          <w:szCs w:val="28"/>
        </w:rPr>
        <w:t>связанный</w:t>
      </w:r>
      <w:r>
        <w:rPr>
          <w:rFonts w:ascii="Times New Roman" w:eastAsia="Times New Roman" w:hAnsi="Times New Roman" w:cs="Times New Roman"/>
          <w:sz w:val="28"/>
          <w:szCs w:val="28"/>
          <w:lang w:eastAsia="ru-RU"/>
        </w:rPr>
        <w:t xml:space="preserve"> с невыполнением </w:t>
      </w:r>
      <w:r>
        <w:rPr>
          <w:rFonts w:ascii="Times New Roman" w:hAnsi="Times New Roman" w:cs="Times New Roman"/>
          <w:sz w:val="28"/>
          <w:szCs w:val="28"/>
        </w:rPr>
        <w:t xml:space="preserve">обязательств электросетевыми организациями перед потребителями электрической энергии из-за нарушения функционирования единицы основного технологического оборудования после отказа </w:t>
      </w:r>
      <w:r w:rsidR="005330BC">
        <w:rPr>
          <w:rFonts w:ascii="Times New Roman" w:hAnsi="Times New Roman" w:cs="Times New Roman"/>
          <w:sz w:val="28"/>
          <w:szCs w:val="28"/>
        </w:rPr>
        <w:t>(</w:t>
      </w:r>
      <w:r>
        <w:rPr>
          <w:rFonts w:ascii="Times New Roman" w:hAnsi="Times New Roman" w:cs="Times New Roman"/>
          <w:sz w:val="28"/>
          <w:szCs w:val="28"/>
        </w:rPr>
        <w:t>Упп</w:t>
      </w:r>
      <w:r w:rsidR="005330BC">
        <w:rPr>
          <w:rFonts w:ascii="Times New Roman" w:hAnsi="Times New Roman" w:cs="Times New Roman"/>
          <w:sz w:val="28"/>
          <w:szCs w:val="28"/>
        </w:rPr>
        <w:t>)</w:t>
      </w:r>
      <w:r>
        <w:rPr>
          <w:rFonts w:ascii="Times New Roman" w:hAnsi="Times New Roman" w:cs="Times New Roman"/>
          <w:sz w:val="28"/>
          <w:szCs w:val="28"/>
        </w:rPr>
        <w:t>, рассчитывается по формуле:</w:t>
      </w:r>
    </w:p>
    <w:p w14:paraId="446C0176" w14:textId="77777777" w:rsidR="005979D5" w:rsidRDefault="002B4D7C">
      <w:pPr>
        <w:spacing w:after="0" w:line="353"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Упп = Унп + Ушнп, (11)</w:t>
      </w:r>
    </w:p>
    <w:p w14:paraId="7E80DA3D"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30415637" w14:textId="77777777" w:rsidR="005979D5" w:rsidRDefault="002B4D7C">
      <w:pPr>
        <w:pStyle w:val="ConsPlusNormal"/>
        <w:spacing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Унп – неполученные доходы от оказания услуг по передаче электрической энергии потребителям, которые были бы получены, если бы не произошло нарушение функционирования единицы основного технологического оборудования, рассчитывается по формуле:</w:t>
      </w:r>
    </w:p>
    <w:p w14:paraId="55953FCA" w14:textId="77777777" w:rsidR="005979D5" w:rsidRDefault="002B4D7C">
      <w:pPr>
        <w:spacing w:after="0" w:line="353"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Унп = Н * Т * t, (12)</w:t>
      </w:r>
    </w:p>
    <w:p w14:paraId="59BD10FB"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45415CE7" w14:textId="77777777" w:rsidR="005979D5" w:rsidRDefault="002B4D7C">
      <w:pPr>
        <w:pStyle w:val="ConsPlusNormal"/>
        <w:spacing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 – суммарный объем фактической нагрузки (мощности) на точках поставки, по которым произошло прекращение передачи электрической энергии на момент возникновения аварии или инцидента, кВт. </w:t>
      </w:r>
    </w:p>
    <w:p w14:paraId="7795DD16" w14:textId="09F8FD03" w:rsidR="005979D5" w:rsidRDefault="002B4D7C">
      <w:pPr>
        <w:pStyle w:val="ConsPlusNormal"/>
        <w:spacing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оценки риска отказа принимается максимальное значение за последние 5 лет из актов о расследовании причин аварий и инцидентов объекта электроэнергетики на оборудовании из той же группы основного технологического оборудования, указанной в пункте 3 Методических указаний, составленных в соответствии с Правилами расследования причин аварий и инцидентов в электроэнергетике, утвержденными постановлением Правительства Российской Федерации от </w:t>
      </w:r>
      <w:r w:rsidR="00124360">
        <w:rPr>
          <w:rFonts w:ascii="Times New Roman" w:hAnsi="Times New Roman" w:cs="Times New Roman"/>
          <w:sz w:val="28"/>
          <w:szCs w:val="28"/>
        </w:rPr>
        <w:t>___________</w:t>
      </w:r>
      <w:r>
        <w:rPr>
          <w:rFonts w:ascii="Times New Roman" w:hAnsi="Times New Roman" w:cs="Times New Roman"/>
          <w:sz w:val="28"/>
          <w:szCs w:val="28"/>
        </w:rPr>
        <w:t xml:space="preserve"> № </w:t>
      </w:r>
      <w:r w:rsidR="00124360">
        <w:rPr>
          <w:rFonts w:ascii="Times New Roman" w:hAnsi="Times New Roman" w:cs="Times New Roman"/>
          <w:sz w:val="28"/>
          <w:szCs w:val="28"/>
        </w:rPr>
        <w:t>__________</w:t>
      </w:r>
      <w:r w:rsidR="005330BC">
        <w:rPr>
          <w:rFonts w:ascii="Times New Roman" w:hAnsi="Times New Roman" w:cs="Times New Roman"/>
          <w:sz w:val="28"/>
          <w:szCs w:val="28"/>
        </w:rPr>
        <w:t xml:space="preserve"> </w:t>
      </w:r>
      <w:r>
        <w:rPr>
          <w:rFonts w:ascii="Times New Roman" w:hAnsi="Times New Roman" w:cs="Times New Roman"/>
          <w:sz w:val="28"/>
          <w:szCs w:val="28"/>
        </w:rPr>
        <w:t>(далее – Правила расследования причин аварий</w:t>
      </w:r>
      <w:r w:rsidR="005330BC">
        <w:rPr>
          <w:rFonts w:ascii="Times New Roman" w:hAnsi="Times New Roman" w:cs="Times New Roman"/>
          <w:sz w:val="28"/>
          <w:szCs w:val="28"/>
        </w:rPr>
        <w:t xml:space="preserve"> и инцидентов</w:t>
      </w:r>
      <w:r>
        <w:rPr>
          <w:rFonts w:ascii="Times New Roman" w:hAnsi="Times New Roman" w:cs="Times New Roman"/>
          <w:sz w:val="28"/>
          <w:szCs w:val="28"/>
        </w:rPr>
        <w:t xml:space="preserve"> в электроэнергетике);</w:t>
      </w:r>
    </w:p>
    <w:p w14:paraId="4B4F86A8"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 – тариф на услуги по передаче электрической энергии по электрическим сетям, действующий на момент возникновения аварии или инцидента, руб./кВт*ч.</w:t>
      </w:r>
    </w:p>
    <w:p w14:paraId="44EDCA00"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оценки риска отказа принимается тариф, установленный на календарную дату проведения расчета, руб./кВт*ч;</w:t>
      </w:r>
    </w:p>
    <w:p w14:paraId="716B3C36"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t – фактическое время восстановления электроснабжения потребителей </w:t>
      </w:r>
      <w:r>
        <w:rPr>
          <w:rFonts w:ascii="Times New Roman" w:hAnsi="Times New Roman" w:cs="Times New Roman"/>
          <w:sz w:val="28"/>
          <w:szCs w:val="28"/>
        </w:rPr>
        <w:br/>
        <w:t xml:space="preserve">услуг, ч. </w:t>
      </w:r>
    </w:p>
    <w:p w14:paraId="39F1D822" w14:textId="77777777" w:rsidR="005979D5" w:rsidRDefault="002B4D7C">
      <w:pPr>
        <w:spacing w:after="0" w:line="353"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оценки риска отказа единицы основного технологического оборудования указанное время восстановления электроснабжения приведено в приложении № 2 </w:t>
      </w:r>
      <w:r>
        <w:rPr>
          <w:rFonts w:ascii="Times New Roman" w:hAnsi="Times New Roman" w:cs="Times New Roman"/>
          <w:sz w:val="28"/>
          <w:szCs w:val="28"/>
        </w:rPr>
        <w:br/>
        <w:t>к Методическим указаниям, при этом может уточняться субъектом электроэнергетики в сторону снижения;</w:t>
      </w:r>
    </w:p>
    <w:p w14:paraId="0DFD5537" w14:textId="77777777" w:rsidR="005979D5" w:rsidRDefault="002B4D7C">
      <w:pPr>
        <w:spacing w:after="0" w:line="35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Ушнп – показатель затрат, связанный с уплатой неустоек (штрафов, пеней) по требованиям к электросетевой организации, в результате предоставления услуги ненадлежащего качества и (или) необоснованного перерыва электроснабжения, превышающего установленную продолжительность,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 </w:t>
      </w:r>
      <w:hyperlink w:anchor="P93" w:tooltip="#P93" w:history="1">
        <w:r>
          <w:rPr>
            <w:rFonts w:ascii="Times New Roman" w:hAnsi="Times New Roman" w:cs="Times New Roman"/>
            <w:sz w:val="28"/>
            <w:szCs w:val="28"/>
          </w:rPr>
          <w:t>Правила</w:t>
        </w:r>
      </w:hyperlink>
      <w:r>
        <w:rPr>
          <w:rFonts w:ascii="Times New Roman" w:hAnsi="Times New Roman" w:cs="Times New Roman"/>
          <w:sz w:val="28"/>
          <w:szCs w:val="28"/>
        </w:rPr>
        <w:t xml:space="preserve">ми недискриминационного доступа к услугам по передаче электрической энергии </w:t>
      </w:r>
      <w:r>
        <w:rPr>
          <w:rFonts w:ascii="Times New Roman" w:hAnsi="Times New Roman" w:cs="Times New Roman"/>
          <w:sz w:val="28"/>
          <w:szCs w:val="28"/>
        </w:rPr>
        <w:br/>
        <w:t>и оказания этих услуг, утвержденными постановлением Правительства Российской Федерации от 27 декабря 2004 г. № 861, и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w:t>
      </w:r>
    </w:p>
    <w:p w14:paraId="4ABACFAF" w14:textId="6B020AA6" w:rsidR="005979D5" w:rsidRDefault="002B4D7C">
      <w:pPr>
        <w:spacing w:after="0" w:line="353"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оценки риска отказа единицы основного технологического оборудования </w:t>
      </w:r>
      <w:r w:rsidR="005330BC">
        <w:rPr>
          <w:rFonts w:ascii="Times New Roman" w:hAnsi="Times New Roman" w:cs="Times New Roman"/>
          <w:sz w:val="28"/>
          <w:szCs w:val="28"/>
        </w:rPr>
        <w:t>(</w:t>
      </w:r>
      <w:r>
        <w:rPr>
          <w:rFonts w:ascii="Times New Roman" w:hAnsi="Times New Roman" w:cs="Times New Roman"/>
          <w:sz w:val="28"/>
          <w:szCs w:val="28"/>
        </w:rPr>
        <w:t>Ушнп</w:t>
      </w:r>
      <w:r w:rsidR="005330BC">
        <w:rPr>
          <w:rFonts w:ascii="Times New Roman" w:hAnsi="Times New Roman" w:cs="Times New Roman"/>
          <w:sz w:val="28"/>
          <w:szCs w:val="28"/>
        </w:rPr>
        <w:t>)</w:t>
      </w:r>
      <w:r>
        <w:rPr>
          <w:rFonts w:ascii="Times New Roman" w:hAnsi="Times New Roman" w:cs="Times New Roman"/>
          <w:sz w:val="28"/>
          <w:szCs w:val="28"/>
        </w:rPr>
        <w:t xml:space="preserve"> рассчитывается по формуле:</w:t>
      </w:r>
    </w:p>
    <w:p w14:paraId="7BBE48F5"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Ушнп = Н * Т * 0,0015 * (</w:t>
      </w:r>
      <w:r>
        <w:rPr>
          <w:rFonts w:ascii="Times New Roman" w:hAnsi="Times New Roman" w:cs="Times New Roman"/>
          <w:sz w:val="28"/>
          <w:szCs w:val="28"/>
          <w:lang w:val="en-US"/>
        </w:rPr>
        <w:t>t</w:t>
      </w:r>
      <w:r>
        <w:rPr>
          <w:rFonts w:ascii="Times New Roman" w:hAnsi="Times New Roman" w:cs="Times New Roman"/>
          <w:sz w:val="28"/>
          <w:szCs w:val="28"/>
        </w:rPr>
        <w:t xml:space="preserve">ео – </w:t>
      </w:r>
      <w:r>
        <w:rPr>
          <w:rFonts w:ascii="Times New Roman" w:hAnsi="Times New Roman" w:cs="Times New Roman"/>
          <w:sz w:val="28"/>
          <w:szCs w:val="28"/>
          <w:lang w:val="en-US"/>
        </w:rPr>
        <w:t>t</w:t>
      </w:r>
      <w:r>
        <w:rPr>
          <w:rFonts w:ascii="Times New Roman" w:hAnsi="Times New Roman" w:cs="Times New Roman"/>
          <w:sz w:val="28"/>
          <w:szCs w:val="28"/>
        </w:rPr>
        <w:t>ипн), (13)</w:t>
      </w:r>
    </w:p>
    <w:p w14:paraId="4E01DDC8"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38A62862"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 – суммарный объем фактической нагрузки (мощности) на точках поставки, по которым произошло прекращение передачи электрической энергии </w:t>
      </w:r>
      <w:r>
        <w:rPr>
          <w:rFonts w:ascii="Times New Roman" w:hAnsi="Times New Roman" w:cs="Times New Roman"/>
          <w:sz w:val="28"/>
          <w:szCs w:val="28"/>
        </w:rPr>
        <w:br/>
        <w:t xml:space="preserve">на момент возникновения аварии или инцидента, кВт. </w:t>
      </w:r>
    </w:p>
    <w:p w14:paraId="59681290" w14:textId="7DD17D42"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оценки риска отказа принимается максимальное значение за последние 5 лет из актов </w:t>
      </w:r>
      <w:r w:rsidR="005330BC">
        <w:rPr>
          <w:rFonts w:ascii="Times New Roman" w:hAnsi="Times New Roman" w:cs="Times New Roman"/>
          <w:sz w:val="28"/>
          <w:szCs w:val="28"/>
        </w:rPr>
        <w:t>п</w:t>
      </w:r>
      <w:r>
        <w:rPr>
          <w:rFonts w:ascii="Times New Roman" w:hAnsi="Times New Roman" w:cs="Times New Roman"/>
          <w:sz w:val="28"/>
          <w:szCs w:val="28"/>
        </w:rPr>
        <w:t>о</w:t>
      </w:r>
      <w:r w:rsidR="005330BC">
        <w:rPr>
          <w:rFonts w:ascii="Times New Roman" w:hAnsi="Times New Roman" w:cs="Times New Roman"/>
          <w:sz w:val="28"/>
          <w:szCs w:val="28"/>
        </w:rPr>
        <w:t xml:space="preserve"> результатам</w:t>
      </w:r>
      <w:r>
        <w:rPr>
          <w:rFonts w:ascii="Times New Roman" w:hAnsi="Times New Roman" w:cs="Times New Roman"/>
          <w:sz w:val="28"/>
          <w:szCs w:val="28"/>
        </w:rPr>
        <w:t xml:space="preserve"> расследовани</w:t>
      </w:r>
      <w:r w:rsidR="005330BC">
        <w:rPr>
          <w:rFonts w:ascii="Times New Roman" w:hAnsi="Times New Roman" w:cs="Times New Roman"/>
          <w:sz w:val="28"/>
          <w:szCs w:val="28"/>
        </w:rPr>
        <w:t>я</w:t>
      </w:r>
      <w:r>
        <w:rPr>
          <w:rFonts w:ascii="Times New Roman" w:hAnsi="Times New Roman" w:cs="Times New Roman"/>
          <w:sz w:val="28"/>
          <w:szCs w:val="28"/>
        </w:rPr>
        <w:t xml:space="preserve"> причин аварий и инцидентов объекта электроэнергетики на оборудовании из той же группы основного технологического оборудования, указанной в пункте 3 Методических указаний, составленных в соответствии с </w:t>
      </w:r>
      <w:r w:rsidR="00FB40A2">
        <w:rPr>
          <w:rFonts w:ascii="Times New Roman" w:hAnsi="Times New Roman" w:cs="Times New Roman"/>
          <w:sz w:val="28"/>
          <w:szCs w:val="28"/>
        </w:rPr>
        <w:t>Требованиями</w:t>
      </w:r>
      <w:r>
        <w:rPr>
          <w:rFonts w:ascii="Times New Roman" w:hAnsi="Times New Roman" w:cs="Times New Roman"/>
          <w:sz w:val="28"/>
          <w:szCs w:val="28"/>
        </w:rPr>
        <w:t>;</w:t>
      </w:r>
    </w:p>
    <w:p w14:paraId="089D0BC9"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 – тариф на услуги по передаче электрической энергии по электрическим сетям, действующий на момент возникновения аварии или инцидента, руб./кВт*ч.</w:t>
      </w:r>
    </w:p>
    <w:p w14:paraId="0BD9DFF6"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оценки риска отказа принимается тариф, установленный на календарную дату проведения расчета, руб./кВт*ч;</w:t>
      </w:r>
    </w:p>
    <w:p w14:paraId="40718DD9"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tео – время восстановления работы единицы основного технологического оборудования, которое приведено в </w:t>
      </w:r>
      <w:hyperlink w:anchor="Приложение5" w:tooltip="#Приложение5" w:history="1">
        <w:r>
          <w:rPr>
            <w:rFonts w:ascii="Times New Roman" w:hAnsi="Times New Roman" w:cs="Times New Roman"/>
            <w:sz w:val="28"/>
            <w:szCs w:val="28"/>
          </w:rPr>
          <w:t xml:space="preserve">приложении № </w:t>
        </w:r>
      </w:hyperlink>
      <w:r>
        <w:rPr>
          <w:rFonts w:ascii="Times New Roman" w:hAnsi="Times New Roman" w:cs="Times New Roman"/>
          <w:sz w:val="28"/>
          <w:szCs w:val="28"/>
        </w:rPr>
        <w:t>2 к Методическим указаниям, ч.</w:t>
      </w:r>
    </w:p>
    <w:p w14:paraId="5F5BA17C"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Время восстановления работы единицы основного технологического оборудования может уточняться субъектом электроэнергетики в сторону снижения;</w:t>
      </w:r>
    </w:p>
    <w:p w14:paraId="594F0237"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tипн – допустимая продолжительность прекращения передачи электрической энергии точек поставки потребителя услуг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 </w:t>
      </w:r>
      <w:hyperlink w:anchor="P93" w:tooltip="#P93" w:history="1">
        <w:r>
          <w:rPr>
            <w:rFonts w:ascii="Times New Roman" w:hAnsi="Times New Roman" w:cs="Times New Roman"/>
            <w:sz w:val="28"/>
            <w:szCs w:val="28"/>
          </w:rPr>
          <w:t>Правила</w:t>
        </w:r>
      </w:hyperlink>
      <w:r>
        <w:rPr>
          <w:rFonts w:ascii="Times New Roman" w:hAnsi="Times New Roman" w:cs="Times New Roman"/>
          <w:sz w:val="28"/>
          <w:szCs w:val="28"/>
        </w:rPr>
        <w:t xml:space="preserve">ми недискриминационного доступа к услугам по передаче электрической энергии </w:t>
      </w:r>
      <w:r>
        <w:rPr>
          <w:rFonts w:ascii="Times New Roman" w:hAnsi="Times New Roman" w:cs="Times New Roman"/>
          <w:sz w:val="28"/>
          <w:szCs w:val="28"/>
        </w:rPr>
        <w:br/>
        <w:t>и оказания этих услуг, утвержденными постановлением Правительства Российской Федерации от 27 декабря 2004 г. № 861, и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 ч.</w:t>
      </w:r>
    </w:p>
    <w:p w14:paraId="4714CE99" w14:textId="7FDE494A"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электростанции показатель затрат, зависящий от недовыработки электрической и тепловой энергии </w:t>
      </w:r>
      <w:r w:rsidR="005330BC">
        <w:rPr>
          <w:rFonts w:ascii="Times New Roman" w:hAnsi="Times New Roman" w:cs="Times New Roman"/>
          <w:sz w:val="28"/>
          <w:szCs w:val="28"/>
        </w:rPr>
        <w:t>(</w:t>
      </w:r>
      <w:r>
        <w:rPr>
          <w:rFonts w:ascii="Times New Roman" w:hAnsi="Times New Roman" w:cs="Times New Roman"/>
          <w:sz w:val="28"/>
          <w:szCs w:val="28"/>
        </w:rPr>
        <w:t>Унедовыраб</w:t>
      </w:r>
      <w:r w:rsidR="005330BC">
        <w:rPr>
          <w:rFonts w:ascii="Times New Roman" w:hAnsi="Times New Roman" w:cs="Times New Roman"/>
          <w:sz w:val="28"/>
          <w:szCs w:val="28"/>
        </w:rPr>
        <w:t>)</w:t>
      </w:r>
      <w:r>
        <w:rPr>
          <w:rFonts w:ascii="Times New Roman" w:hAnsi="Times New Roman" w:cs="Times New Roman"/>
          <w:sz w:val="28"/>
          <w:szCs w:val="28"/>
        </w:rPr>
        <w:t>, рассчитывается по формуле:</w:t>
      </w:r>
      <w:r>
        <w:rPr>
          <w:rFonts w:ascii="Times New Roman" w:eastAsia="Times New Roman" w:hAnsi="Times New Roman" w:cs="Times New Roman"/>
          <w:sz w:val="28"/>
          <w:szCs w:val="28"/>
          <w:lang w:eastAsia="ru-RU"/>
        </w:rPr>
        <w:t xml:space="preserve"> </w:t>
      </w:r>
    </w:p>
    <w:p w14:paraId="23EF8B76"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Унедовыраб = КИУМ * ΔРуст * Цэ(t) * tн + ΔVстм * Тт/э, (14)</w:t>
      </w:r>
    </w:p>
    <w:p w14:paraId="37C5EBFC" w14:textId="77777777" w:rsidR="005979D5" w:rsidRDefault="002B4D7C">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где:</w:t>
      </w:r>
    </w:p>
    <w:p w14:paraId="3EFAEC47" w14:textId="77777777" w:rsidR="005979D5" w:rsidRDefault="002B4D7C">
      <w:pPr>
        <w:pStyle w:val="ConsPlusNormal"/>
        <w:spacing w:line="36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КИУМ </w:t>
      </w:r>
      <w:r>
        <w:rPr>
          <w:rFonts w:ascii="Times New Roman" w:hAnsi="Times New Roman" w:cs="Times New Roman"/>
          <w:sz w:val="28"/>
          <w:szCs w:val="28"/>
        </w:rPr>
        <w:t>–</w:t>
      </w:r>
      <w:r>
        <w:rPr>
          <w:rFonts w:ascii="Times New Roman" w:eastAsiaTheme="minorHAnsi" w:hAnsi="Times New Roman" w:cs="Times New Roman"/>
          <w:sz w:val="28"/>
          <w:szCs w:val="28"/>
          <w:lang w:eastAsia="en-US"/>
        </w:rPr>
        <w:t xml:space="preserve"> коэффициент использования установленной мощности паровой </w:t>
      </w:r>
      <w:r>
        <w:rPr>
          <w:rFonts w:ascii="Times New Roman" w:eastAsiaTheme="minorHAnsi" w:hAnsi="Times New Roman" w:cs="Times New Roman"/>
          <w:sz w:val="28"/>
          <w:szCs w:val="28"/>
          <w:lang w:eastAsia="en-US"/>
        </w:rPr>
        <w:br/>
        <w:t>и (или) газовой или гидравлической турбины, не готовой (</w:t>
      </w:r>
      <w:r>
        <w:rPr>
          <w:rFonts w:ascii="Times New Roman" w:hAnsi="Times New Roman" w:cs="Times New Roman"/>
          <w:sz w:val="28"/>
          <w:szCs w:val="28"/>
        </w:rPr>
        <w:t>не готовых</w:t>
      </w:r>
      <w:r>
        <w:rPr>
          <w:rFonts w:ascii="Times New Roman" w:eastAsiaTheme="minorHAnsi" w:hAnsi="Times New Roman" w:cs="Times New Roman"/>
          <w:sz w:val="28"/>
          <w:szCs w:val="28"/>
          <w:lang w:eastAsia="en-US"/>
        </w:rPr>
        <w:t xml:space="preserve">) к выработке электрической энергии вследствие технологических нарушений из-за отказа единицы основного технологического оборудования за последний календарный год. </w:t>
      </w:r>
    </w:p>
    <w:p w14:paraId="3B472F71" w14:textId="77777777" w:rsidR="005979D5" w:rsidRDefault="002B4D7C">
      <w:pPr>
        <w:pStyle w:val="ConsPlusNormal"/>
        <w:spacing w:line="36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Величина КИУМ определяется как отношение объема выработки электрической энергии за определенный период эксплуатации к максимально возможному объему выработки электрической энергии электростанцией при работе </w:t>
      </w:r>
      <w:r>
        <w:rPr>
          <w:rFonts w:ascii="Times New Roman" w:eastAsiaTheme="minorHAnsi" w:hAnsi="Times New Roman" w:cs="Times New Roman"/>
          <w:sz w:val="28"/>
          <w:szCs w:val="28"/>
          <w:lang w:eastAsia="en-US"/>
        </w:rPr>
        <w:br/>
        <w:t xml:space="preserve">с нагрузкой, соответствующей ее установленной мощности, за тот же период. </w:t>
      </w:r>
    </w:p>
    <w:p w14:paraId="34F3DF1D" w14:textId="77777777" w:rsidR="005979D5" w:rsidRDefault="002B4D7C">
      <w:pPr>
        <w:pStyle w:val="ConsPlusNormal"/>
        <w:spacing w:line="36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Для оценки риска отказа единицы основного технологического оборудования используется величина КИУМ генерирующего оборудования, не готового </w:t>
      </w:r>
      <w:r>
        <w:rPr>
          <w:rFonts w:ascii="Times New Roman" w:eastAsiaTheme="minorHAnsi" w:hAnsi="Times New Roman" w:cs="Times New Roman"/>
          <w:sz w:val="28"/>
          <w:szCs w:val="28"/>
          <w:lang w:eastAsia="en-US"/>
        </w:rPr>
        <w:br/>
        <w:t xml:space="preserve">к выработке электрической энергии вследствие технологических нарушений </w:t>
      </w:r>
      <w:r>
        <w:rPr>
          <w:rFonts w:ascii="Times New Roman" w:eastAsiaTheme="minorHAnsi" w:hAnsi="Times New Roman" w:cs="Times New Roman"/>
          <w:sz w:val="28"/>
          <w:szCs w:val="28"/>
          <w:lang w:eastAsia="en-US"/>
        </w:rPr>
        <w:br/>
        <w:t>из-за отказа этой единицы основного технологического оборудования, за последний календарный год;</w:t>
      </w:r>
    </w:p>
    <w:p w14:paraId="0AC325F1"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ΔРуст – снижение установленной мощности электростанции вследствие технологических нарушений из-за отказа единицы основного технологического оборудования, МВт. </w:t>
      </w:r>
    </w:p>
    <w:p w14:paraId="7B93502F"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оценки риска отказа снижение установленной мощности электростанции принимается равным величине установленной мощности паровой и (или) газовой или гидравлической турбины, не готовой (не готовых) к выработке электрической энергии вследствие технологических нарушений из-за фактического или прогнозного отказа единицы основного технологического оборудования, МВт;</w:t>
      </w:r>
    </w:p>
    <w:p w14:paraId="5D781FC5"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Цэ(t) – средневзвешенная цена на электрическую энергию, вырабатываемую на оцениваемом объекте электроэнергетики, установленная договорами </w:t>
      </w:r>
      <w:r>
        <w:rPr>
          <w:rFonts w:ascii="Times New Roman" w:hAnsi="Times New Roman" w:cs="Times New Roman"/>
          <w:sz w:val="28"/>
          <w:szCs w:val="28"/>
        </w:rPr>
        <w:br/>
        <w:t xml:space="preserve">купли-продажи электрической энергии, заключенными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 </w:t>
      </w:r>
      <w:r>
        <w:rPr>
          <w:rFonts w:ascii="Times New Roman" w:hAnsi="Times New Roman" w:cs="Times New Roman"/>
          <w:sz w:val="28"/>
          <w:szCs w:val="28"/>
        </w:rPr>
        <w:lastRenderedPageBreak/>
        <w:t xml:space="preserve">1172, руб./(МВт*ч). </w:t>
      </w:r>
    </w:p>
    <w:p w14:paraId="6467BCC7"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оценки риска отказа единицы основного технологического оборудования величина Цэ(t) определяется путем умножения среднегодовой цены электрической энергии на индекс изменения цен (тарифов);</w:t>
      </w:r>
    </w:p>
    <w:p w14:paraId="7AC213ED"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tн – фактическое время неработоспособности единицы основного технологического оборудования при аварийно-восстановительном ремонте, ч. </w:t>
      </w:r>
    </w:p>
    <w:p w14:paraId="0283720C"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оценки риска отказа единицы основного технологического оборудования используется величина времени восстановления работоспособности единицы основного технологического оборудования, определяемая в соответствии </w:t>
      </w:r>
      <w:r>
        <w:rPr>
          <w:rFonts w:ascii="Times New Roman" w:hAnsi="Times New Roman" w:cs="Times New Roman"/>
          <w:sz w:val="28"/>
          <w:szCs w:val="28"/>
        </w:rPr>
        <w:br/>
        <w:t xml:space="preserve">с </w:t>
      </w:r>
      <w:hyperlink w:anchor="Приложение5" w:tooltip="#Приложение5" w:history="1">
        <w:r>
          <w:rPr>
            <w:rFonts w:ascii="Times New Roman" w:hAnsi="Times New Roman" w:cs="Times New Roman"/>
            <w:sz w:val="28"/>
            <w:szCs w:val="28"/>
          </w:rPr>
          <w:t xml:space="preserve">приложением № </w:t>
        </w:r>
      </w:hyperlink>
      <w:r>
        <w:rPr>
          <w:rFonts w:ascii="Times New Roman" w:hAnsi="Times New Roman" w:cs="Times New Roman"/>
          <w:sz w:val="28"/>
          <w:szCs w:val="28"/>
        </w:rPr>
        <w:t>2 к Методическим указаниям;</w:t>
      </w:r>
    </w:p>
    <w:p w14:paraId="07BAEF15"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ΔVстм – фактическое снижение объема отпущенной тепловой энергии </w:t>
      </w:r>
      <w:r>
        <w:rPr>
          <w:rFonts w:ascii="Times New Roman" w:hAnsi="Times New Roman" w:cs="Times New Roman"/>
          <w:sz w:val="28"/>
          <w:szCs w:val="28"/>
        </w:rPr>
        <w:br/>
        <w:t xml:space="preserve">из-за ограничений мощности вследствие технологических нарушений из-за отказа единицы основного технологического оборудования, Гкал. </w:t>
      </w:r>
    </w:p>
    <w:p w14:paraId="2972BF5E" w14:textId="77777777" w:rsidR="005979D5" w:rsidRDefault="002B4D7C">
      <w:pPr>
        <w:pStyle w:val="ConsPlusNormal"/>
        <w:spacing w:line="360" w:lineRule="auto"/>
        <w:ind w:firstLine="709"/>
        <w:contextualSpacing/>
        <w:jc w:val="both"/>
      </w:pPr>
      <w:r>
        <w:rPr>
          <w:rFonts w:ascii="Times New Roman" w:hAnsi="Times New Roman" w:cs="Times New Roman"/>
          <w:sz w:val="28"/>
          <w:szCs w:val="28"/>
        </w:rPr>
        <w:t>Для оценки риска отказа единицы основного технологического оборудования величина рассчитывается по формуле:</w:t>
      </w:r>
    </w:p>
    <w:p w14:paraId="32242F3D"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ΔVстм = Qтепл * tн, (15)</w:t>
      </w:r>
    </w:p>
    <w:p w14:paraId="3135074C" w14:textId="77777777" w:rsidR="005979D5" w:rsidRDefault="002B4D7C">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где:</w:t>
      </w:r>
    </w:p>
    <w:p w14:paraId="5A65BF6B"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Qтепл – установленная теплофикационная мощность оборудования электростанции, не готового к выработке и отпуску тепловой энергии вследствие технологических нарушений из-за прогнозного отказа единицы основного технологического оборудования, Гкал/ч;</w:t>
      </w:r>
    </w:p>
    <w:p w14:paraId="0C6D5509"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tн – фактическое время неработоспособности единицы основного технологического оборудования при аварийно-восстановительном ремонте, ч. </w:t>
      </w:r>
    </w:p>
    <w:p w14:paraId="5963FE4E"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оценки риска отказа единицы основного технологического оборудования время неработоспособности определяется в соответствии с </w:t>
      </w:r>
      <w:hyperlink w:anchor="Приложение5" w:tooltip="#Приложение5" w:history="1">
        <w:r>
          <w:rPr>
            <w:rFonts w:ascii="Times New Roman" w:hAnsi="Times New Roman" w:cs="Times New Roman"/>
            <w:sz w:val="28"/>
            <w:szCs w:val="28"/>
          </w:rPr>
          <w:t xml:space="preserve">приложением № </w:t>
        </w:r>
      </w:hyperlink>
      <w:r>
        <w:rPr>
          <w:rFonts w:ascii="Times New Roman" w:hAnsi="Times New Roman" w:cs="Times New Roman"/>
          <w:sz w:val="28"/>
          <w:szCs w:val="28"/>
        </w:rPr>
        <w:t xml:space="preserve">2 </w:t>
      </w:r>
      <w:r>
        <w:rPr>
          <w:rFonts w:ascii="Times New Roman" w:hAnsi="Times New Roman" w:cs="Times New Roman"/>
          <w:sz w:val="28"/>
          <w:szCs w:val="28"/>
        </w:rPr>
        <w:br/>
        <w:t>к Методическим указаниям;</w:t>
      </w:r>
    </w:p>
    <w:p w14:paraId="6C1FCD7A"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Тт/э – цена (тариф) на тепловую энергию, руб./Гкал. </w:t>
      </w:r>
    </w:p>
    <w:p w14:paraId="1B1AA4AE"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оценки риска отказа единицы основного технологического оборудования величина Тт/э определяется путем умножения указанной текущей цены (тарифа) на индекс изменения цен (тарифов).</w:t>
      </w:r>
    </w:p>
    <w:p w14:paraId="682C554A" w14:textId="1DBA9CE0"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Оценка последствий отказа единицы основного технологического оборудования, нарушение или прекращение функционирования которой приводит </w:t>
      </w:r>
      <w:r>
        <w:rPr>
          <w:rFonts w:ascii="Times New Roman" w:hAnsi="Times New Roman" w:cs="Times New Roman"/>
          <w:sz w:val="28"/>
          <w:szCs w:val="28"/>
        </w:rPr>
        <w:br/>
        <w:t xml:space="preserve">к нарушению или прекращению функционирования другого основного технологического оборудования той же электростанции </w:t>
      </w:r>
      <w:r w:rsidR="005330BC">
        <w:rPr>
          <w:rFonts w:ascii="Times New Roman" w:hAnsi="Times New Roman" w:cs="Times New Roman"/>
          <w:sz w:val="28"/>
          <w:szCs w:val="28"/>
        </w:rPr>
        <w:t>(</w:t>
      </w:r>
      <w:r>
        <w:rPr>
          <w:rFonts w:ascii="Times New Roman" w:hAnsi="Times New Roman" w:cs="Times New Roman"/>
          <w:sz w:val="28"/>
          <w:szCs w:val="28"/>
        </w:rPr>
        <w:t>П</w:t>
      </w:r>
      <w:r>
        <w:rPr>
          <w:rFonts w:ascii="Times New Roman" w:hAnsi="Times New Roman" w:cs="Times New Roman"/>
          <w:sz w:val="28"/>
          <w:szCs w:val="28"/>
          <w:vertAlign w:val="subscript"/>
        </w:rPr>
        <w:t>Эог</w:t>
      </w:r>
      <w:r w:rsidR="005330BC">
        <w:rPr>
          <w:rFonts w:ascii="Times New Roman" w:hAnsi="Times New Roman" w:cs="Times New Roman"/>
          <w:sz w:val="28"/>
          <w:szCs w:val="28"/>
        </w:rPr>
        <w:t>)</w:t>
      </w:r>
      <w:r>
        <w:rPr>
          <w:rFonts w:ascii="Times New Roman" w:hAnsi="Times New Roman" w:cs="Times New Roman"/>
          <w:sz w:val="28"/>
          <w:szCs w:val="28"/>
        </w:rPr>
        <w:t>, проводится по формуле:</w:t>
      </w:r>
    </w:p>
    <w:p w14:paraId="751DE8EE"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Эог</w:t>
      </w:r>
      <w:r>
        <w:rPr>
          <w:rFonts w:ascii="Times New Roman" w:hAnsi="Times New Roman" w:cs="Times New Roman"/>
          <w:sz w:val="28"/>
          <w:szCs w:val="28"/>
        </w:rPr>
        <w:t xml:space="preserve"> = ∑Уотк</w:t>
      </w:r>
      <w:r>
        <w:rPr>
          <w:rFonts w:ascii="Times New Roman" w:hAnsi="Times New Roman" w:cs="Times New Roman"/>
          <w:sz w:val="28"/>
          <w:szCs w:val="28"/>
          <w:lang w:val="en-US"/>
        </w:rPr>
        <w:t>j</w:t>
      </w:r>
      <w:r>
        <w:rPr>
          <w:rFonts w:ascii="Times New Roman" w:hAnsi="Times New Roman" w:cs="Times New Roman"/>
          <w:sz w:val="28"/>
          <w:szCs w:val="28"/>
        </w:rPr>
        <w:t xml:space="preserve"> + ∑ Зпускi + Унеопл.мощн + Унедовыраб + ∑ Упп, (16)</w:t>
      </w:r>
    </w:p>
    <w:p w14:paraId="177DF271"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55CA95D1"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Уотк</w:t>
      </w:r>
      <w:r>
        <w:rPr>
          <w:rFonts w:ascii="Times New Roman" w:hAnsi="Times New Roman" w:cs="Times New Roman"/>
          <w:sz w:val="28"/>
          <w:szCs w:val="28"/>
          <w:lang w:val="en-US"/>
        </w:rPr>
        <w:t>j</w:t>
      </w:r>
      <w:r>
        <w:rPr>
          <w:rFonts w:ascii="Times New Roman" w:hAnsi="Times New Roman" w:cs="Times New Roman"/>
          <w:sz w:val="28"/>
          <w:szCs w:val="28"/>
        </w:rPr>
        <w:t xml:space="preserve"> – показатель затрат, непосредственно связанный с восстановлением работоспособности </w:t>
      </w:r>
      <w:r>
        <w:rPr>
          <w:rFonts w:ascii="Times New Roman" w:hAnsi="Times New Roman" w:cs="Times New Roman"/>
          <w:sz w:val="28"/>
          <w:szCs w:val="28"/>
          <w:lang w:val="en-US"/>
        </w:rPr>
        <w:t>j</w:t>
      </w:r>
      <w:r>
        <w:rPr>
          <w:rFonts w:ascii="Times New Roman" w:hAnsi="Times New Roman" w:cs="Times New Roman"/>
          <w:sz w:val="28"/>
          <w:szCs w:val="28"/>
        </w:rPr>
        <w:t xml:space="preserve">-ой единицы основного технологического оборудования </w:t>
      </w:r>
      <w:r>
        <w:rPr>
          <w:rFonts w:ascii="Times New Roman" w:hAnsi="Times New Roman" w:cs="Times New Roman"/>
          <w:sz w:val="28"/>
          <w:szCs w:val="28"/>
        </w:rPr>
        <w:br/>
        <w:t xml:space="preserve">после отказа оцениваемой единицы оборудования, рассчитываемый в соответствии </w:t>
      </w:r>
      <w:r>
        <w:rPr>
          <w:rFonts w:ascii="Times New Roman" w:hAnsi="Times New Roman" w:cs="Times New Roman"/>
          <w:sz w:val="28"/>
          <w:szCs w:val="28"/>
        </w:rPr>
        <w:br/>
        <w:t>с пунктом 16 Методических указаний, руб.;</w:t>
      </w:r>
    </w:p>
    <w:p w14:paraId="57E258AD"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Зпускi – затраты на пуск i-того парового котла, паровой и (или) газовой </w:t>
      </w:r>
      <w:r>
        <w:rPr>
          <w:rFonts w:ascii="Times New Roman" w:hAnsi="Times New Roman" w:cs="Times New Roman"/>
          <w:sz w:val="28"/>
          <w:szCs w:val="28"/>
        </w:rPr>
        <w:br/>
        <w:t xml:space="preserve">или гидравлической турбины (далее – генерирующее оборудование), не готовых </w:t>
      </w:r>
      <w:r>
        <w:rPr>
          <w:rFonts w:ascii="Times New Roman" w:hAnsi="Times New Roman" w:cs="Times New Roman"/>
          <w:sz w:val="28"/>
          <w:szCs w:val="28"/>
        </w:rPr>
        <w:br/>
        <w:t>к участию в выработке электрической энергии вследствие технологических нарушений после отказа единицы основного технологического оборудования, рассчитываемые в соответствии с пунктом 21 Методических указаний, руб.;</w:t>
      </w:r>
    </w:p>
    <w:p w14:paraId="2170D850" w14:textId="77777777"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Унеопл.мощн. – показатель затрат, зависящий от неоплаты располагаемой мощности электростанции, возникающий вследствие нарушения субъектом электроэнергетики своих договорных обязательств по обеспечению готовности генерирующего оборудования к выработке электрической энергии </w:t>
      </w:r>
      <w:r>
        <w:rPr>
          <w:rFonts w:ascii="Times New Roman" w:hAnsi="Times New Roman" w:cs="Times New Roman"/>
          <w:sz w:val="28"/>
          <w:szCs w:val="28"/>
        </w:rPr>
        <w:br/>
        <w:t>при технологических нарушениях (в том числе аварийных отключениях), рассчитываемый в соответствии с пунктом 22 Методических указаний, руб.;</w:t>
      </w:r>
    </w:p>
    <w:p w14:paraId="01274B62" w14:textId="77777777"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Унедовыраб – показатель затрат, зависящий от недовыработки электрической и тепловой энергии при отказе единицы основного технологического оборудования, рассчитываемый в соответствии с пунктом 19 Методических указаний, руб.;</w:t>
      </w:r>
    </w:p>
    <w:p w14:paraId="5B83ABAB"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Упп – </w:t>
      </w:r>
      <w:r>
        <w:rPr>
          <w:rFonts w:ascii="Times New Roman" w:eastAsia="Times New Roman" w:hAnsi="Times New Roman" w:cs="Times New Roman"/>
          <w:sz w:val="28"/>
          <w:szCs w:val="28"/>
          <w:lang w:eastAsia="ru-RU"/>
        </w:rPr>
        <w:t xml:space="preserve">показатель затрат, </w:t>
      </w:r>
      <w:r>
        <w:rPr>
          <w:rFonts w:ascii="Times New Roman" w:hAnsi="Times New Roman" w:cs="Times New Roman"/>
          <w:sz w:val="28"/>
          <w:szCs w:val="28"/>
        </w:rPr>
        <w:t>связанный</w:t>
      </w:r>
      <w:r>
        <w:rPr>
          <w:rFonts w:ascii="Times New Roman" w:eastAsia="Times New Roman" w:hAnsi="Times New Roman" w:cs="Times New Roman"/>
          <w:sz w:val="28"/>
          <w:szCs w:val="28"/>
          <w:lang w:eastAsia="ru-RU"/>
        </w:rPr>
        <w:t xml:space="preserve"> с невыполнением</w:t>
      </w:r>
      <w:r>
        <w:rPr>
          <w:rFonts w:ascii="Times New Roman" w:hAnsi="Times New Roman" w:cs="Times New Roman"/>
          <w:sz w:val="28"/>
          <w:szCs w:val="28"/>
        </w:rPr>
        <w:t xml:space="preserve"> электросетевыми организациями обязательств перед потребителями из-за нарушения функционирования единицы основного технологического оборудования после отказа, рассчитываемый в соответствии с пунктом 18 Методических указаний, руб.</w:t>
      </w:r>
    </w:p>
    <w:p w14:paraId="655D9A62" w14:textId="68BF562B"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Фактические значения Зпуск, Унеопл.мощн., Упп применяются для расчета затрат последствий аварий или инцидентов при оформлении акта </w:t>
      </w:r>
      <w:r w:rsidR="005330BC">
        <w:rPr>
          <w:rFonts w:ascii="Times New Roman" w:hAnsi="Times New Roman" w:cs="Times New Roman"/>
          <w:sz w:val="28"/>
          <w:szCs w:val="28"/>
        </w:rPr>
        <w:t>п</w:t>
      </w:r>
      <w:r>
        <w:rPr>
          <w:rFonts w:ascii="Times New Roman" w:hAnsi="Times New Roman" w:cs="Times New Roman"/>
          <w:sz w:val="28"/>
          <w:szCs w:val="28"/>
        </w:rPr>
        <w:t>о</w:t>
      </w:r>
      <w:r w:rsidR="005330BC">
        <w:rPr>
          <w:rFonts w:ascii="Times New Roman" w:hAnsi="Times New Roman" w:cs="Times New Roman"/>
          <w:sz w:val="28"/>
          <w:szCs w:val="28"/>
        </w:rPr>
        <w:t xml:space="preserve"> результатам</w:t>
      </w:r>
      <w:r>
        <w:rPr>
          <w:rFonts w:ascii="Times New Roman" w:hAnsi="Times New Roman" w:cs="Times New Roman"/>
          <w:sz w:val="28"/>
          <w:szCs w:val="28"/>
        </w:rPr>
        <w:t xml:space="preserve"> расследовани</w:t>
      </w:r>
      <w:r w:rsidR="005330BC">
        <w:rPr>
          <w:rFonts w:ascii="Times New Roman" w:hAnsi="Times New Roman" w:cs="Times New Roman"/>
          <w:sz w:val="28"/>
          <w:szCs w:val="28"/>
        </w:rPr>
        <w:t>я</w:t>
      </w:r>
      <w:r>
        <w:rPr>
          <w:rFonts w:ascii="Times New Roman" w:hAnsi="Times New Roman" w:cs="Times New Roman"/>
          <w:sz w:val="28"/>
          <w:szCs w:val="28"/>
        </w:rPr>
        <w:t xml:space="preserve"> причин аварий и инцидентов в электроэнергетике. Для оценки рисков показатели Зпуск, Унеопл.мощн., Упп не используются.</w:t>
      </w:r>
    </w:p>
    <w:p w14:paraId="52F8900C" w14:textId="18263472"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Затраты на пуск генерирующего оборудования (только для электростанций) после проведения работ по восстановлению работоспособного состояния единицы основного технологического оборудования после отказа </w:t>
      </w:r>
      <w:r w:rsidR="005330BC">
        <w:rPr>
          <w:rFonts w:ascii="Times New Roman" w:hAnsi="Times New Roman" w:cs="Times New Roman"/>
          <w:sz w:val="28"/>
          <w:szCs w:val="28"/>
        </w:rPr>
        <w:t>(</w:t>
      </w:r>
      <w:r>
        <w:rPr>
          <w:rFonts w:ascii="Times New Roman" w:hAnsi="Times New Roman" w:cs="Times New Roman"/>
          <w:sz w:val="28"/>
          <w:szCs w:val="28"/>
        </w:rPr>
        <w:t>Зпуск</w:t>
      </w:r>
      <w:r w:rsidR="005330BC">
        <w:rPr>
          <w:rFonts w:ascii="Times New Roman" w:hAnsi="Times New Roman" w:cs="Times New Roman"/>
          <w:sz w:val="28"/>
          <w:szCs w:val="28"/>
        </w:rPr>
        <w:t>)</w:t>
      </w:r>
      <w:r>
        <w:rPr>
          <w:rFonts w:ascii="Times New Roman" w:hAnsi="Times New Roman" w:cs="Times New Roman"/>
          <w:sz w:val="28"/>
          <w:szCs w:val="28"/>
        </w:rPr>
        <w:t xml:space="preserve"> рассчитываются по формуле:</w:t>
      </w:r>
    </w:p>
    <w:p w14:paraId="3202A588"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Зпуск = Втоп * Цтоп + Зпроч, (17)</w:t>
      </w:r>
    </w:p>
    <w:p w14:paraId="2A951492"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3442E76D"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Втоп – фактический расход условного топлива на пусковые операции генерирующего оборудования до включения в сеть и набора диспетчерской нагрузки, т.у.т.;</w:t>
      </w:r>
    </w:p>
    <w:p w14:paraId="05B517E5"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Цтоп – цена условного топлива, руб./т.у.т.;</w:t>
      </w:r>
    </w:p>
    <w:p w14:paraId="0F6250C2"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Зпроч – фактические дополнительные затраты на пусковые операции </w:t>
      </w:r>
      <w:r>
        <w:rPr>
          <w:rFonts w:ascii="Times New Roman" w:hAnsi="Times New Roman" w:cs="Times New Roman"/>
          <w:sz w:val="28"/>
          <w:szCs w:val="28"/>
        </w:rPr>
        <w:br/>
        <w:t xml:space="preserve">(при наличии) без учета НДС, руб. </w:t>
      </w:r>
    </w:p>
    <w:p w14:paraId="49C0EE87" w14:textId="2D814CB0"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Показатель затрат, зависящий от неоплаты располагаемой мощности электростанции, возникающий вследствие нарушения субъектом электроэнергетики своих договорных обязательств по обеспечению готовности генерирующего оборудования к выработке электрической энергии при</w:t>
      </w:r>
      <w:r>
        <w:rPr>
          <w:rFonts w:ascii="Times New Roman" w:hAnsi="Times New Roman" w:cs="Times New Roman"/>
          <w:sz w:val="18"/>
          <w:szCs w:val="18"/>
        </w:rPr>
        <w:t xml:space="preserve"> </w:t>
      </w:r>
      <w:r>
        <w:rPr>
          <w:rFonts w:ascii="Times New Roman" w:hAnsi="Times New Roman" w:cs="Times New Roman"/>
          <w:sz w:val="28"/>
          <w:szCs w:val="28"/>
        </w:rPr>
        <w:t xml:space="preserve">технологических нарушениях (в том числе аварийных отключениях) </w:t>
      </w:r>
      <w:r w:rsidR="005330BC">
        <w:rPr>
          <w:rFonts w:ascii="Times New Roman" w:hAnsi="Times New Roman" w:cs="Times New Roman"/>
          <w:sz w:val="28"/>
          <w:szCs w:val="28"/>
        </w:rPr>
        <w:t>(</w:t>
      </w:r>
      <w:r>
        <w:rPr>
          <w:rFonts w:ascii="Times New Roman" w:hAnsi="Times New Roman" w:cs="Times New Roman"/>
          <w:sz w:val="28"/>
          <w:szCs w:val="28"/>
        </w:rPr>
        <w:t>Унеопл.мощн</w:t>
      </w:r>
      <w:r w:rsidR="005330BC">
        <w:rPr>
          <w:rFonts w:ascii="Times New Roman" w:hAnsi="Times New Roman" w:cs="Times New Roman"/>
          <w:sz w:val="28"/>
          <w:szCs w:val="28"/>
        </w:rPr>
        <w:t>)</w:t>
      </w:r>
      <w:r>
        <w:rPr>
          <w:rFonts w:ascii="Times New Roman" w:hAnsi="Times New Roman" w:cs="Times New Roman"/>
          <w:sz w:val="28"/>
          <w:szCs w:val="28"/>
        </w:rPr>
        <w:t>, рассчитывается по следующей формуле:</w:t>
      </w:r>
    </w:p>
    <w:p w14:paraId="4B755997" w14:textId="77777777" w:rsidR="005979D5" w:rsidRDefault="002B4D7C">
      <w:pPr>
        <w:pStyle w:val="ListParagraph"/>
        <w:spacing w:after="0" w:line="360" w:lineRule="auto"/>
        <w:ind w:left="0" w:firstLine="567"/>
        <w:jc w:val="center"/>
      </w:pPr>
      <w:r>
        <w:rPr>
          <w:rFonts w:ascii="Times New Roman" w:hAnsi="Times New Roman" w:cs="Times New Roman"/>
          <w:sz w:val="28"/>
          <w:szCs w:val="28"/>
        </w:rPr>
        <w:t xml:space="preserve">Унеопл.мощн = (Цмощн/Тмес) * Руст * </w:t>
      </w:r>
      <w:r>
        <w:rPr>
          <w:rFonts w:ascii="Times New Roman" w:hAnsi="Times New Roman" w:cs="Times New Roman"/>
          <w:sz w:val="28"/>
          <w:szCs w:val="28"/>
          <w:lang w:val="en-US"/>
        </w:rPr>
        <w:t>k</w:t>
      </w:r>
      <w:r>
        <w:rPr>
          <w:rFonts w:ascii="Times New Roman" w:hAnsi="Times New Roman" w:cs="Times New Roman"/>
          <w:sz w:val="28"/>
          <w:szCs w:val="28"/>
        </w:rPr>
        <w:t>эк, (18)</w:t>
      </w:r>
    </w:p>
    <w:p w14:paraId="6FFACBDF" w14:textId="77777777"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где:</w:t>
      </w:r>
    </w:p>
    <w:p w14:paraId="036C17F0" w14:textId="77777777"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Цмощн – средневзвешенная цена мощности для оцениваемого объекта электроэнергетики, которая установлена договорами купли-продажи мощности, заключенными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 1172, руб./МВт в месяц;</w:t>
      </w:r>
    </w:p>
    <w:p w14:paraId="64DEF148" w14:textId="77777777"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Tмес – среднее количество часов в месяце (720), ч;</w:t>
      </w:r>
    </w:p>
    <w:p w14:paraId="57DB3F9B" w14:textId="77777777"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Pуст – установленная мощность паровой и (или) газовой или гидравлической турбины, не готовой (не готовых) к выработке электрической энергии вследствие технологических нарушений из-за отказавшей единицы основного технологического оборудования, МВт;</w:t>
      </w:r>
    </w:p>
    <w:p w14:paraId="1123FF18" w14:textId="77777777"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kэк – эквивалентное время снижения оплаты мощности из-за неготовности основного технологического оборудования к участию в выработке электрической энергии, определяемое в соответствии с </w:t>
      </w:r>
      <w:hyperlink w:anchor="Приложение4" w:tooltip="#Приложение4" w:history="1">
        <w:r>
          <w:rPr>
            <w:rFonts w:ascii="Times New Roman" w:hAnsi="Times New Roman" w:cs="Times New Roman"/>
            <w:sz w:val="28"/>
            <w:szCs w:val="28"/>
          </w:rPr>
          <w:t>приложением № 3</w:t>
        </w:r>
      </w:hyperlink>
      <w:r>
        <w:rPr>
          <w:rFonts w:ascii="Times New Roman" w:hAnsi="Times New Roman" w:cs="Times New Roman"/>
          <w:sz w:val="28"/>
          <w:szCs w:val="28"/>
        </w:rPr>
        <w:t xml:space="preserve"> к Методическим указаниям, ч.</w:t>
      </w:r>
    </w:p>
    <w:p w14:paraId="2CFDF0C5" w14:textId="4C28BBA4"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последствий отказа единицы основного технологического оборудования, нарушение или прекращение функционирования которой приводит к нарушению или прекращению функционирования другого основного технологического оборудования того же объекта электросетевого хозяйства </w:t>
      </w:r>
      <w:r w:rsidR="005330BC">
        <w:rPr>
          <w:rFonts w:ascii="Times New Roman" w:hAnsi="Times New Roman" w:cs="Times New Roman"/>
          <w:sz w:val="28"/>
          <w:szCs w:val="28"/>
        </w:rPr>
        <w:t>(</w:t>
      </w:r>
      <w:r>
        <w:rPr>
          <w:rFonts w:ascii="Times New Roman" w:hAnsi="Times New Roman" w:cs="Times New Roman"/>
          <w:sz w:val="28"/>
          <w:szCs w:val="28"/>
        </w:rPr>
        <w:t>Пэх</w:t>
      </w:r>
      <w:r w:rsidR="005330BC">
        <w:rPr>
          <w:rFonts w:ascii="Times New Roman" w:hAnsi="Times New Roman" w:cs="Times New Roman"/>
          <w:sz w:val="28"/>
          <w:szCs w:val="28"/>
        </w:rPr>
        <w:t>)</w:t>
      </w:r>
      <w:r>
        <w:rPr>
          <w:rFonts w:ascii="Times New Roman" w:hAnsi="Times New Roman" w:cs="Times New Roman"/>
          <w:sz w:val="28"/>
          <w:szCs w:val="28"/>
        </w:rPr>
        <w:t>, проводится по формуле:</w:t>
      </w:r>
    </w:p>
    <w:p w14:paraId="1EE1F4D7"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Пэх = ∑Уотк</w:t>
      </w:r>
      <w:r>
        <w:rPr>
          <w:rFonts w:ascii="Times New Roman" w:hAnsi="Times New Roman" w:cs="Times New Roman"/>
          <w:sz w:val="28"/>
          <w:szCs w:val="28"/>
          <w:lang w:val="en-US"/>
        </w:rPr>
        <w:t>j</w:t>
      </w:r>
      <w:r>
        <w:rPr>
          <w:rFonts w:ascii="Times New Roman" w:hAnsi="Times New Roman" w:cs="Times New Roman"/>
          <w:sz w:val="28"/>
          <w:szCs w:val="28"/>
        </w:rPr>
        <w:t xml:space="preserve"> + ∑Уппi, (19)</w:t>
      </w:r>
    </w:p>
    <w:p w14:paraId="5D7A8BD5"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41535F44"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Уотк</w:t>
      </w:r>
      <w:r>
        <w:rPr>
          <w:rFonts w:ascii="Times New Roman" w:hAnsi="Times New Roman" w:cs="Times New Roman"/>
          <w:sz w:val="28"/>
          <w:szCs w:val="28"/>
          <w:lang w:val="en-US"/>
        </w:rPr>
        <w:t>j</w:t>
      </w:r>
      <w:r>
        <w:rPr>
          <w:rFonts w:ascii="Times New Roman" w:hAnsi="Times New Roman" w:cs="Times New Roman"/>
          <w:sz w:val="28"/>
          <w:szCs w:val="28"/>
        </w:rPr>
        <w:t xml:space="preserve"> – показатель затрат, связанный с отказом </w:t>
      </w:r>
      <w:r>
        <w:rPr>
          <w:rFonts w:ascii="Times New Roman" w:hAnsi="Times New Roman" w:cs="Times New Roman"/>
          <w:sz w:val="28"/>
          <w:szCs w:val="28"/>
          <w:lang w:val="en-US"/>
        </w:rPr>
        <w:t>j</w:t>
      </w:r>
      <w:r>
        <w:rPr>
          <w:rFonts w:ascii="Times New Roman" w:hAnsi="Times New Roman" w:cs="Times New Roman"/>
          <w:sz w:val="28"/>
          <w:szCs w:val="28"/>
        </w:rPr>
        <w:t>-ой единицы основного технологического оборудования после отказа оцениваемой единицы оборудования, рассчитываемый в соответствии с пунктом 16 Методических указаний, руб.;</w:t>
      </w:r>
    </w:p>
    <w:p w14:paraId="367A9B54"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Упп</w:t>
      </w:r>
      <w:r>
        <w:rPr>
          <w:rFonts w:ascii="Times New Roman" w:hAnsi="Times New Roman" w:cs="Times New Roman"/>
          <w:sz w:val="28"/>
          <w:szCs w:val="28"/>
          <w:lang w:val="en-US"/>
        </w:rPr>
        <w:t>i</w:t>
      </w:r>
      <w:r>
        <w:rPr>
          <w:rFonts w:ascii="Times New Roman" w:hAnsi="Times New Roman" w:cs="Times New Roman"/>
          <w:sz w:val="28"/>
          <w:szCs w:val="28"/>
        </w:rPr>
        <w:t xml:space="preserve"> – показатель затрат, связанный с невыполнением обязательств перед </w:t>
      </w:r>
      <w:r>
        <w:rPr>
          <w:rFonts w:ascii="Times New Roman" w:hAnsi="Times New Roman" w:cs="Times New Roman"/>
          <w:sz w:val="28"/>
          <w:szCs w:val="28"/>
          <w:lang w:val="en-US"/>
        </w:rPr>
        <w:t>i</w:t>
      </w:r>
      <w:r>
        <w:rPr>
          <w:rFonts w:ascii="Times New Roman" w:hAnsi="Times New Roman" w:cs="Times New Roman"/>
          <w:sz w:val="28"/>
          <w:szCs w:val="28"/>
        </w:rPr>
        <w:t>-ым потребителем из-за нарушения функционирования единицы основного технологического оборудования после отказа, рассчитываемый в соответствии с пунктом 18 Методических указаний, руб.</w:t>
      </w:r>
    </w:p>
    <w:p w14:paraId="18A5C760" w14:textId="1186BB6F"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последствий отказа единицы основного технологического оборудования, нарушение или прекращение функционирования которой приводит к нарушению или прекращению функционирования основного технологического оборудования другого объекта (других объектов) электроэнергетики </w:t>
      </w:r>
      <w:r w:rsidR="005330BC">
        <w:rPr>
          <w:rFonts w:ascii="Times New Roman" w:hAnsi="Times New Roman" w:cs="Times New Roman"/>
          <w:sz w:val="28"/>
          <w:szCs w:val="28"/>
        </w:rPr>
        <w:t>(</w:t>
      </w:r>
      <w:r>
        <w:rPr>
          <w:rFonts w:ascii="Times New Roman" w:hAnsi="Times New Roman" w:cs="Times New Roman"/>
          <w:sz w:val="28"/>
          <w:szCs w:val="28"/>
        </w:rPr>
        <w:t>Пэу</w:t>
      </w:r>
      <w:r w:rsidR="005330BC">
        <w:rPr>
          <w:rFonts w:ascii="Times New Roman" w:hAnsi="Times New Roman" w:cs="Times New Roman"/>
          <w:sz w:val="28"/>
          <w:szCs w:val="28"/>
        </w:rPr>
        <w:t>)</w:t>
      </w:r>
      <w:r>
        <w:rPr>
          <w:rFonts w:ascii="Times New Roman" w:hAnsi="Times New Roman" w:cs="Times New Roman"/>
          <w:sz w:val="28"/>
          <w:szCs w:val="28"/>
        </w:rPr>
        <w:t>, проводится по формуле:</w:t>
      </w:r>
    </w:p>
    <w:p w14:paraId="31913CA0"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Пэу = ∑Уотк</w:t>
      </w:r>
      <w:r>
        <w:rPr>
          <w:rFonts w:ascii="Times New Roman" w:hAnsi="Times New Roman" w:cs="Times New Roman"/>
          <w:sz w:val="28"/>
          <w:szCs w:val="28"/>
          <w:lang w:val="en-US"/>
        </w:rPr>
        <w:t>j</w:t>
      </w:r>
      <w:r>
        <w:rPr>
          <w:rFonts w:ascii="Times New Roman" w:hAnsi="Times New Roman" w:cs="Times New Roman"/>
          <w:sz w:val="28"/>
          <w:szCs w:val="28"/>
        </w:rPr>
        <w:t xml:space="preserve"> + ∑(Зпуск + Унеопл.мощн + Унедовыраб)i + ∑ Упп</w:t>
      </w:r>
      <w:r>
        <w:rPr>
          <w:rFonts w:ascii="Times New Roman" w:hAnsi="Times New Roman" w:cs="Times New Roman"/>
          <w:sz w:val="28"/>
          <w:szCs w:val="28"/>
          <w:lang w:val="en-US"/>
        </w:rPr>
        <w:t>i</w:t>
      </w:r>
      <w:r>
        <w:rPr>
          <w:rFonts w:ascii="Times New Roman" w:hAnsi="Times New Roman" w:cs="Times New Roman"/>
          <w:sz w:val="28"/>
          <w:szCs w:val="28"/>
        </w:rPr>
        <w:t>, (20)</w:t>
      </w:r>
    </w:p>
    <w:p w14:paraId="2BCF9613"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55BD2979"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Уотк</w:t>
      </w:r>
      <w:r>
        <w:rPr>
          <w:rFonts w:ascii="Times New Roman" w:hAnsi="Times New Roman" w:cs="Times New Roman"/>
          <w:sz w:val="28"/>
          <w:szCs w:val="28"/>
          <w:lang w:val="en-US"/>
        </w:rPr>
        <w:t>j</w:t>
      </w:r>
      <w:r>
        <w:rPr>
          <w:rFonts w:ascii="Times New Roman" w:hAnsi="Times New Roman" w:cs="Times New Roman"/>
          <w:sz w:val="28"/>
          <w:szCs w:val="28"/>
        </w:rPr>
        <w:t xml:space="preserve"> – показатель затрат, непосредственно связанный с восстановлением </w:t>
      </w:r>
      <w:r>
        <w:rPr>
          <w:rFonts w:ascii="Times New Roman" w:hAnsi="Times New Roman" w:cs="Times New Roman"/>
          <w:sz w:val="28"/>
          <w:szCs w:val="28"/>
        </w:rPr>
        <w:lastRenderedPageBreak/>
        <w:t xml:space="preserve">работоспособности </w:t>
      </w:r>
      <w:r>
        <w:rPr>
          <w:rFonts w:ascii="Times New Roman" w:hAnsi="Times New Roman" w:cs="Times New Roman"/>
          <w:sz w:val="28"/>
          <w:szCs w:val="28"/>
          <w:lang w:val="en-US"/>
        </w:rPr>
        <w:t>j</w:t>
      </w:r>
      <w:r>
        <w:rPr>
          <w:rFonts w:ascii="Times New Roman" w:hAnsi="Times New Roman" w:cs="Times New Roman"/>
          <w:sz w:val="28"/>
          <w:szCs w:val="28"/>
        </w:rPr>
        <w:t>-ой единицы основного технологического оборудования после отказа оцениваемой единицы оборудования, рассчитываемый в соответствии с пунктом 16 Методических указаний, руб.;</w:t>
      </w:r>
    </w:p>
    <w:p w14:paraId="54ECE73D"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Зпуск – затраты на пуск генерирующего оборудования i-ой электростанции после отказа единицы основного технологического оборудования, рассчитываемые в соответствии с пунктом 21 Методических указаний, руб.;</w:t>
      </w:r>
    </w:p>
    <w:p w14:paraId="1F6FF8A9" w14:textId="77777777" w:rsidR="005979D5" w:rsidRDefault="002B4D7C">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Унеопл.мощн. – показатель затрат, зависящий от неоплаты располагаемой мощности электростанции, возникающий вследствие нарушения субъектом электроэнергетики своих договорных обязательств по обеспечению готовности генерирующего оборудования к выработке электрической энергии при технологических нарушениях (в том числе аварийных отключениях), рассчитывается в соответствии с пунктом 22 Методических указаний, руб.; </w:t>
      </w:r>
    </w:p>
    <w:p w14:paraId="25A33BA5"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Унедовыраб – показатель затрат, зависящий от недовыработки электрической и тепловой энергии при отказе единицы основного технологического оборудования, рассчитывается в соответствии с пунктом 19 Методических указаний, руб.;</w:t>
      </w:r>
    </w:p>
    <w:p w14:paraId="0233F107"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Упп</w:t>
      </w:r>
      <w:r>
        <w:rPr>
          <w:rFonts w:ascii="Times New Roman" w:hAnsi="Times New Roman" w:cs="Times New Roman"/>
          <w:sz w:val="28"/>
          <w:szCs w:val="28"/>
          <w:lang w:val="en-US"/>
        </w:rPr>
        <w:t>i</w:t>
      </w:r>
      <w:r>
        <w:rPr>
          <w:rFonts w:ascii="Times New Roman" w:hAnsi="Times New Roman" w:cs="Times New Roman"/>
          <w:sz w:val="28"/>
          <w:szCs w:val="28"/>
        </w:rPr>
        <w:t xml:space="preserve"> – показатель затрат, связанный с невыполнением обязательств перед потребителем из-за нарушения функционирования </w:t>
      </w:r>
      <w:r>
        <w:rPr>
          <w:rFonts w:ascii="Times New Roman" w:hAnsi="Times New Roman" w:cs="Times New Roman"/>
          <w:sz w:val="28"/>
          <w:szCs w:val="28"/>
          <w:lang w:val="en-US"/>
        </w:rPr>
        <w:t>i</w:t>
      </w:r>
      <w:r>
        <w:rPr>
          <w:rFonts w:ascii="Times New Roman" w:hAnsi="Times New Roman" w:cs="Times New Roman"/>
          <w:sz w:val="28"/>
          <w:szCs w:val="28"/>
        </w:rPr>
        <w:t>-ого объекта электроэнергетики, рассчитываемый в соответствии с пунктом 18 Методических указаний, руб.</w:t>
      </w:r>
    </w:p>
    <w:p w14:paraId="1DB242FB" w14:textId="0F599FF1"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Фактические значения Зпуск, Унеопл.мощн., Упп применяются для расчета затрат последствий аварий или инцидентов при оформлении акта </w:t>
      </w:r>
      <w:r w:rsidR="005330BC">
        <w:rPr>
          <w:rFonts w:ascii="Times New Roman" w:hAnsi="Times New Roman" w:cs="Times New Roman"/>
          <w:sz w:val="28"/>
          <w:szCs w:val="28"/>
        </w:rPr>
        <w:t>п</w:t>
      </w:r>
      <w:r>
        <w:rPr>
          <w:rFonts w:ascii="Times New Roman" w:hAnsi="Times New Roman" w:cs="Times New Roman"/>
          <w:sz w:val="28"/>
          <w:szCs w:val="28"/>
        </w:rPr>
        <w:t xml:space="preserve">о </w:t>
      </w:r>
      <w:r w:rsidR="005330BC">
        <w:rPr>
          <w:rFonts w:ascii="Times New Roman" w:hAnsi="Times New Roman" w:cs="Times New Roman"/>
          <w:sz w:val="28"/>
          <w:szCs w:val="28"/>
        </w:rPr>
        <w:t xml:space="preserve">результатам </w:t>
      </w:r>
      <w:r>
        <w:rPr>
          <w:rFonts w:ascii="Times New Roman" w:hAnsi="Times New Roman" w:cs="Times New Roman"/>
          <w:sz w:val="28"/>
          <w:szCs w:val="28"/>
        </w:rPr>
        <w:t>расследовани</w:t>
      </w:r>
      <w:r w:rsidR="009C0BB0">
        <w:rPr>
          <w:rFonts w:ascii="Times New Roman" w:hAnsi="Times New Roman" w:cs="Times New Roman"/>
          <w:sz w:val="28"/>
          <w:szCs w:val="28"/>
        </w:rPr>
        <w:t>я</w:t>
      </w:r>
      <w:r>
        <w:rPr>
          <w:rFonts w:ascii="Times New Roman" w:hAnsi="Times New Roman" w:cs="Times New Roman"/>
          <w:sz w:val="28"/>
          <w:szCs w:val="28"/>
        </w:rPr>
        <w:t xml:space="preserve"> причин аварий и инцидентов в электроэнергетике. </w:t>
      </w:r>
    </w:p>
    <w:p w14:paraId="5AC05BD2"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оценки рисков показатели Зпуск, Унеопл.мощн., Упп не используются.</w:t>
      </w:r>
    </w:p>
    <w:p w14:paraId="208F6075"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Оценка технического риска отказа единицы основного технологического оборудования проводится для формирования типовых предложений об оптимизации процессов эксплуатации объектов электроэнергетики и определения оптимального вида, состава и стоимости технического воздействия на основное технологическое оборудование путем сопоставления затрат на такое воздействие со значением технического риска в стоимостном выражении.</w:t>
      </w:r>
    </w:p>
    <w:p w14:paraId="377421D3" w14:textId="26DEDC2B"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Величина технического риска отказа единицы основного технологического оборудования </w:t>
      </w:r>
      <w:r w:rsidR="005330BC">
        <w:rPr>
          <w:rFonts w:ascii="Times New Roman" w:hAnsi="Times New Roman" w:cs="Times New Roman"/>
          <w:sz w:val="28"/>
          <w:szCs w:val="28"/>
        </w:rPr>
        <w:t>(</w:t>
      </w:r>
      <w:r>
        <w:rPr>
          <w:rFonts w:ascii="Times New Roman" w:hAnsi="Times New Roman" w:cs="Times New Roman"/>
          <w:sz w:val="28"/>
          <w:szCs w:val="28"/>
        </w:rPr>
        <w:t>R</w:t>
      </w:r>
      <w:r>
        <w:rPr>
          <w:rFonts w:ascii="Times New Roman" w:hAnsi="Times New Roman" w:cs="Times New Roman"/>
          <w:sz w:val="28"/>
          <w:szCs w:val="28"/>
          <w:vertAlign w:val="subscript"/>
        </w:rPr>
        <w:t>ЕО</w:t>
      </w:r>
      <w:r w:rsidR="005330BC">
        <w:rPr>
          <w:rFonts w:ascii="Times New Roman" w:hAnsi="Times New Roman" w:cs="Times New Roman"/>
          <w:sz w:val="28"/>
          <w:szCs w:val="28"/>
        </w:rPr>
        <w:t>)</w:t>
      </w:r>
      <w:r>
        <w:rPr>
          <w:rFonts w:ascii="Times New Roman" w:hAnsi="Times New Roman" w:cs="Times New Roman"/>
          <w:sz w:val="28"/>
          <w:szCs w:val="28"/>
        </w:rPr>
        <w:t xml:space="preserve"> рассчитывается по формуле:</w:t>
      </w:r>
    </w:p>
    <w:p w14:paraId="7960176B"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lastRenderedPageBreak/>
        <w:t>R</w:t>
      </w:r>
      <w:r>
        <w:rPr>
          <w:rFonts w:ascii="Times New Roman" w:hAnsi="Times New Roman" w:cs="Times New Roman"/>
          <w:sz w:val="28"/>
          <w:szCs w:val="28"/>
          <w:vertAlign w:val="subscript"/>
        </w:rPr>
        <w:t>ЕО</w:t>
      </w:r>
      <w:r>
        <w:rPr>
          <w:rFonts w:ascii="Times New Roman" w:hAnsi="Times New Roman" w:cs="Times New Roman"/>
          <w:sz w:val="28"/>
          <w:szCs w:val="28"/>
        </w:rPr>
        <w:t xml:space="preserve"> = Р</w:t>
      </w:r>
      <w:r>
        <w:rPr>
          <w:rFonts w:ascii="Times New Roman" w:hAnsi="Times New Roman" w:cs="Times New Roman"/>
          <w:sz w:val="28"/>
          <w:szCs w:val="28"/>
          <w:vertAlign w:val="subscript"/>
        </w:rPr>
        <w:t>ЕО</w:t>
      </w:r>
      <w:r>
        <w:rPr>
          <w:rFonts w:ascii="Times New Roman" w:hAnsi="Times New Roman" w:cs="Times New Roman"/>
          <w:sz w:val="28"/>
          <w:szCs w:val="28"/>
        </w:rPr>
        <w:t xml:space="preserve"> * П, (21)</w:t>
      </w:r>
    </w:p>
    <w:p w14:paraId="766F4F64"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2745A258"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vertAlign w:val="subscript"/>
        </w:rPr>
        <w:t>ЕО</w:t>
      </w:r>
      <w:r>
        <w:rPr>
          <w:rFonts w:ascii="Times New Roman" w:hAnsi="Times New Roman" w:cs="Times New Roman"/>
          <w:sz w:val="28"/>
          <w:szCs w:val="28"/>
        </w:rPr>
        <w:t xml:space="preserve"> – прогноз вероятности отказа единицы основного технологического оборудования, рассчитанный в соответствии с пунктом 11 Методических указаний;</w:t>
      </w:r>
    </w:p>
    <w:p w14:paraId="3571DCEA"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 – последствия отказа единицы основного технологического оборудования, определенные в соответствии с пунктом 27 Методических указаний, руб.</w:t>
      </w:r>
    </w:p>
    <w:p w14:paraId="6C34D9C4"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планирования технического перевооружения и реконструкции объекта электроэнергетики величина риска отказа принимает наибольшее рассчитанное значение риска отказа среди входящих в состав указанного объекта единиц основного технологического оборудования.</w:t>
      </w:r>
    </w:p>
    <w:p w14:paraId="42932F76"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Последствия отказа единицы основного технологического оборудования рассчитываются:</w:t>
      </w:r>
    </w:p>
    <w:p w14:paraId="23909411"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такая единица оборудования входит в состав технологической цепочки на электростанции в соответствии с пунктом 3.11 методики оценки технического состояния или на данной электростанции за последние 5 лет эксплуатации произошли аварии или инциденты, связанные с нарушением или прекращением функционирования единицы основного технологического оборудования того же вида, приведшие к нарушению или прекращению функционирования другого основного технологического оборудования этой электростанции, – в соответствии с пунктом</w:t>
      </w:r>
      <w:hyperlink w:anchor="P261" w:tooltip="#P261" w:history="1">
        <w:r>
          <w:rPr>
            <w:rFonts w:ascii="Times New Roman" w:hAnsi="Times New Roman" w:cs="Times New Roman"/>
            <w:sz w:val="28"/>
            <w:szCs w:val="28"/>
          </w:rPr>
          <w:t xml:space="preserve"> </w:t>
        </w:r>
      </w:hyperlink>
      <w:r>
        <w:rPr>
          <w:rFonts w:ascii="Times New Roman" w:hAnsi="Times New Roman" w:cs="Times New Roman"/>
          <w:sz w:val="28"/>
          <w:szCs w:val="28"/>
        </w:rPr>
        <w:t>20 Методических указаний;</w:t>
      </w:r>
    </w:p>
    <w:p w14:paraId="7C8D0D9D"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на объекте электросетевого хозяйства за последние 5 лет эксплуатации такого объекта произошли аварии или инциденты, связанные с нарушением или прекращением функционирования единицы основного технологического оборудования того же вида, приведшие к нарушению или прекращению функционирования другого основного технологического оборудования этого объекта, – в соответствии с пунктом 23 Методических указаний;</w:t>
      </w:r>
    </w:p>
    <w:p w14:paraId="4A503E24"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объекте электроэнергетики за последние 5 лет эксплуатации такого объекта произошли аварии или инциденты, связанные с нарушением или прекращением функционирования единицы основного технологического оборудования того же вида, приведшие к нарушению или прекращению </w:t>
      </w:r>
      <w:r>
        <w:rPr>
          <w:rFonts w:ascii="Times New Roman" w:hAnsi="Times New Roman" w:cs="Times New Roman"/>
          <w:sz w:val="28"/>
          <w:szCs w:val="28"/>
        </w:rPr>
        <w:lastRenderedPageBreak/>
        <w:t>функционирования основного технологического оборудования другого объекта (других объектов) электроэнергетики, – в соответствии с пунктом 24 Методических указаний;</w:t>
      </w:r>
    </w:p>
    <w:p w14:paraId="036CB988"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остальных случаях – в соответствии с пунктом 15 Методических указаний.</w:t>
      </w:r>
    </w:p>
    <w:p w14:paraId="7D1650B2" w14:textId="77777777" w:rsidR="005979D5" w:rsidRDefault="005979D5">
      <w:pPr>
        <w:spacing w:after="0" w:line="360" w:lineRule="auto"/>
        <w:ind w:firstLine="709"/>
        <w:contextualSpacing/>
        <w:jc w:val="both"/>
        <w:rPr>
          <w:rFonts w:ascii="Times New Roman" w:hAnsi="Times New Roman" w:cs="Times New Roman"/>
          <w:sz w:val="28"/>
          <w:szCs w:val="28"/>
        </w:rPr>
      </w:pPr>
    </w:p>
    <w:p w14:paraId="5C22C901" w14:textId="77777777" w:rsidR="005979D5" w:rsidRDefault="002B4D7C">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V. Прогноз уровня надежности оказываемых услуг организации по управлению единой национальной (общероссийской) электрической </w:t>
      </w:r>
    </w:p>
    <w:p w14:paraId="3D860D72" w14:textId="77777777" w:rsidR="005979D5" w:rsidRDefault="002B4D7C">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сетью и территориальных сетевых организаций</w:t>
      </w:r>
    </w:p>
    <w:p w14:paraId="5ABE9F56" w14:textId="77777777" w:rsidR="005979D5" w:rsidRDefault="005979D5">
      <w:pPr>
        <w:pStyle w:val="ConsPlusTitle"/>
        <w:contextualSpacing/>
        <w:outlineLvl w:val="0"/>
        <w:rPr>
          <w:rFonts w:ascii="Times New Roman" w:hAnsi="Times New Roman" w:cs="Times New Roman"/>
          <w:sz w:val="28"/>
          <w:szCs w:val="28"/>
        </w:rPr>
      </w:pPr>
    </w:p>
    <w:p w14:paraId="62826BEB" w14:textId="7777777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определения влияния планируемого к выполнению технического воздействия на основное технологическое оборудование и объекты электроэнергетики на достижение целевых значений показателей надежности оказываемых услуг организации по управлению единой национальной (общероссийской) электрической сетью и территориальных сетевых организаций проводится расчет прогнозных значений по пунктам 29, 30 и 31 для целей Методических указаний.</w:t>
      </w:r>
    </w:p>
    <w:p w14:paraId="407304BE" w14:textId="3B42F8B0"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средней продолжительности прекращения передачи электрической энергии на точку поставки территориальной сетевой организации </w:t>
      </w:r>
      <w:r w:rsidR="00137F07">
        <w:rPr>
          <w:rFonts w:ascii="Times New Roman" w:hAnsi="Times New Roman" w:cs="Times New Roman"/>
          <w:sz w:val="28"/>
          <w:szCs w:val="28"/>
        </w:rPr>
        <w:t>(</w:t>
      </w:r>
      <w:r>
        <w:rPr>
          <w:rFonts w:ascii="Times New Roman" w:hAnsi="Times New Roman" w:cs="Times New Roman"/>
          <w:sz w:val="28"/>
          <w:szCs w:val="28"/>
        </w:rPr>
        <w:t>SAIDI</w:t>
      </w:r>
      <w:r w:rsidR="00137F07">
        <w:rPr>
          <w:rFonts w:ascii="Times New Roman" w:hAnsi="Times New Roman" w:cs="Times New Roman"/>
          <w:sz w:val="28"/>
          <w:szCs w:val="28"/>
        </w:rPr>
        <w:t>)</w:t>
      </w:r>
      <w:r>
        <w:rPr>
          <w:rFonts w:ascii="Times New Roman" w:hAnsi="Times New Roman" w:cs="Times New Roman"/>
          <w:sz w:val="28"/>
          <w:szCs w:val="28"/>
        </w:rPr>
        <w:t xml:space="preserve"> рассчитывается по формуле:</w:t>
      </w:r>
    </w:p>
    <w:p w14:paraId="19125B51" w14:textId="77777777" w:rsidR="005979D5" w:rsidRDefault="002B4D7C">
      <w:pPr>
        <w:spacing w:after="0" w:line="360" w:lineRule="auto"/>
        <w:ind w:firstLine="567"/>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SAIDI = SAIDI</w:t>
      </w:r>
      <w:r>
        <w:rPr>
          <w:rFonts w:ascii="Times New Roman" w:hAnsi="Times New Roman" w:cs="Times New Roman"/>
          <w:sz w:val="28"/>
          <w:szCs w:val="28"/>
          <w:vertAlign w:val="subscript"/>
        </w:rPr>
        <w:t>расч</w:t>
      </w:r>
      <w:r>
        <w:rPr>
          <w:rFonts w:ascii="Times New Roman" w:hAnsi="Times New Roman" w:cs="Times New Roman"/>
          <w:sz w:val="28"/>
          <w:szCs w:val="28"/>
          <w:lang w:val="en-US"/>
        </w:rPr>
        <w:t xml:space="preserve"> * (1 – k</w:t>
      </w:r>
      <w:r>
        <w:rPr>
          <w:rFonts w:ascii="Times New Roman" w:hAnsi="Times New Roman" w:cs="Times New Roman"/>
          <w:sz w:val="28"/>
          <w:szCs w:val="28"/>
        </w:rPr>
        <w:t>пр</w:t>
      </w:r>
      <w:r>
        <w:rPr>
          <w:rFonts w:ascii="Times New Roman" w:hAnsi="Times New Roman" w:cs="Times New Roman"/>
          <w:sz w:val="28"/>
          <w:szCs w:val="28"/>
          <w:lang w:val="en-US"/>
        </w:rPr>
        <w:t xml:space="preserve">) + </w:t>
      </w:r>
      <m:oMath>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Т</m:t>
                </m:r>
                <m:r>
                  <w:rPr>
                    <w:rFonts w:ascii="Cambria Math" w:hAnsi="Cambria Math" w:cs="Times New Roman"/>
                    <w:sz w:val="28"/>
                    <w:szCs w:val="28"/>
                    <w:lang w:val="en-US"/>
                  </w:rPr>
                  <m:t>i*Ni</m:t>
                </m:r>
              </m:e>
            </m:nary>
          </m:num>
          <m:den>
            <m:r>
              <w:rPr>
                <w:rFonts w:ascii="Cambria Math" w:hAnsi="Cambria Math" w:cs="Times New Roman"/>
                <w:sz w:val="28"/>
                <w:szCs w:val="28"/>
              </w:rPr>
              <m:t>Nmax</m:t>
            </m:r>
          </m:den>
        </m:f>
      </m:oMath>
      <w:proofErr w:type="gramStart"/>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(22)</w:t>
      </w:r>
    </w:p>
    <w:p w14:paraId="49FAFA32"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3C5D298E"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SAIDI</w:t>
      </w:r>
      <w:r>
        <w:rPr>
          <w:rFonts w:ascii="Times New Roman" w:hAnsi="Times New Roman" w:cs="Times New Roman"/>
          <w:sz w:val="28"/>
          <w:szCs w:val="28"/>
          <w:vertAlign w:val="subscript"/>
        </w:rPr>
        <w:t>расч</w:t>
      </w:r>
      <w:r>
        <w:rPr>
          <w:rFonts w:ascii="Times New Roman" w:hAnsi="Times New Roman" w:cs="Times New Roman"/>
          <w:sz w:val="28"/>
          <w:szCs w:val="28"/>
        </w:rPr>
        <w:t xml:space="preserve"> – фактическое значение за последний календарный год показателя надежности оказываемых услуг территориальных сетевых организаций – средней продолжительности прекращения передачи электрической энергии на точку поставки, определенной в соответствии с </w:t>
      </w:r>
      <w:hyperlink r:id="rId11" w:tooltip="consultantplus://offline/ref=FF15E70820E43863358A4F63A31184CE3100B3D84CDC93948EC8C4901496CD0F13F1362A178E0232864C3D2EC3C6750A5F7129B3A27BE3F5vBKFO" w:history="1">
        <w:r>
          <w:rPr>
            <w:rFonts w:ascii="Times New Roman" w:hAnsi="Times New Roman" w:cs="Times New Roman"/>
            <w:sz w:val="28"/>
            <w:szCs w:val="28"/>
          </w:rPr>
          <w:t>Методическими</w:t>
        </w:r>
      </w:hyperlink>
      <w:r>
        <w:rPr>
          <w:rFonts w:ascii="Times New Roman" w:hAnsi="Times New Roman" w:cs="Times New Roman"/>
          <w:sz w:val="28"/>
          <w:szCs w:val="28"/>
        </w:rPr>
        <w:t xml:space="preserve"> указаниями по расчету уровня надежности и качества поставляемых товаров и оказываемых услуг </w:t>
      </w:r>
      <w:r>
        <w:rPr>
          <w:rFonts w:ascii="Times New Roman" w:hAnsi="Times New Roman" w:cs="Times New Roman"/>
          <w:sz w:val="28"/>
          <w:szCs w:val="28"/>
        </w:rPr>
        <w:br/>
        <w:t>для организации по управлению единой национальной (общероссийской) электрической сетью и территориальных сетевых организаций, утвержденными приказом Минэнерго России от 29 ноября 2016 г. № 1256</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(далее – методика по </w:t>
      </w:r>
      <w:r>
        <w:rPr>
          <w:rFonts w:ascii="Times New Roman" w:hAnsi="Times New Roman" w:cs="Times New Roman"/>
          <w:sz w:val="28"/>
          <w:szCs w:val="28"/>
        </w:rPr>
        <w:lastRenderedPageBreak/>
        <w:t>расчету уровня надежности);</w:t>
      </w:r>
    </w:p>
    <w:p w14:paraId="4915C951"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kпр – поправочный коэффициент, рассчитывается по формуле 23 Методических указаний;</w:t>
      </w:r>
    </w:p>
    <w:p w14:paraId="63D8F467"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vertAlign w:val="subscript"/>
        </w:rPr>
        <w:t>i</w:t>
      </w:r>
      <w:r>
        <w:rPr>
          <w:rFonts w:ascii="Times New Roman" w:hAnsi="Times New Roman" w:cs="Times New Roman"/>
          <w:sz w:val="28"/>
          <w:szCs w:val="28"/>
        </w:rPr>
        <w:t xml:space="preserve"> – время неработоспособного состояния i-ой единицы основного технологического оборудования, рассчитанное по формуле 24 Методических указаний;</w:t>
      </w:r>
    </w:p>
    <w:p w14:paraId="1524F44E"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i</w:t>
      </w:r>
      <w:r>
        <w:rPr>
          <w:rFonts w:ascii="Times New Roman" w:hAnsi="Times New Roman" w:cs="Times New Roman"/>
          <w:sz w:val="28"/>
          <w:szCs w:val="28"/>
        </w:rPr>
        <w:t xml:space="preserve"> – количество точек поставки потребителей услуг территориальной сетевой организации, энергопринимающие устройства которых присоединены к объектам электросетевого хозяйства такой территориальной сетевой организации и в отношении которых прогнозируется прекращение передачи электрической энергии потребителю услуг такой территориальной сетевой организации (включая частичное ограничение режима потребления электрической энергии потребителя услуг) в результате технологического нарушения из-за отказа единицы основного технологического оборудования, шт.;</w:t>
      </w:r>
    </w:p>
    <w:p w14:paraId="45BD027E"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max</w:t>
      </w:r>
      <w:r>
        <w:rPr>
          <w:rFonts w:ascii="Times New Roman" w:hAnsi="Times New Roman" w:cs="Times New Roman"/>
          <w:sz w:val="28"/>
          <w:szCs w:val="28"/>
        </w:rPr>
        <w:t xml:space="preserve"> – прогнозируемое на текущий год максимальное количество точек поставки потребителей услуг территориальной сетевой организации, энергопринимающие устройства которых присоединены к объектам электросетевого хозяйства такой территориальной сетевой организации, шт.</w:t>
      </w:r>
    </w:p>
    <w:p w14:paraId="7F15716A"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kпр – поправочный коэффициент:</w:t>
      </w:r>
    </w:p>
    <w:p w14:paraId="74ACE0F2" w14:textId="77777777" w:rsidR="005979D5" w:rsidRDefault="002B4D7C">
      <w:pPr>
        <w:spacing w:after="0" w:line="360" w:lineRule="auto"/>
        <w:ind w:firstLine="567"/>
        <w:contextualSpacing/>
        <w:jc w:val="center"/>
        <w:rPr>
          <w:rFonts w:ascii="Times New Roman" w:hAnsi="Times New Roman" w:cs="Times New Roman"/>
          <w:sz w:val="28"/>
          <w:szCs w:val="28"/>
        </w:rPr>
      </w:pPr>
      <w:proofErr w:type="gramStart"/>
      <w:r>
        <w:rPr>
          <w:rFonts w:ascii="Times New Roman" w:hAnsi="Times New Roman" w:cs="Times New Roman"/>
          <w:sz w:val="28"/>
          <w:szCs w:val="28"/>
          <w:lang w:val="en-US"/>
        </w:rPr>
        <w:t>k</w:t>
      </w:r>
      <w:r>
        <w:rPr>
          <w:rFonts w:ascii="Times New Roman" w:hAnsi="Times New Roman" w:cs="Times New Roman"/>
          <w:sz w:val="28"/>
          <w:szCs w:val="28"/>
        </w:rPr>
        <w:t>пр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k</w:t>
      </w:r>
      <w:r>
        <w:rPr>
          <w:rFonts w:ascii="Times New Roman" w:hAnsi="Times New Roman" w:cs="Times New Roman"/>
          <w:sz w:val="28"/>
          <w:szCs w:val="28"/>
          <w:vertAlign w:val="subscript"/>
        </w:rPr>
        <w:t>тс</w:t>
      </w:r>
      <w:r>
        <w:rPr>
          <w:rFonts w:ascii="Times New Roman" w:hAnsi="Times New Roman" w:cs="Times New Roman"/>
          <w:sz w:val="28"/>
          <w:szCs w:val="28"/>
        </w:rPr>
        <w:t xml:space="preserve"> / </w:t>
      </w:r>
      <w:r>
        <w:rPr>
          <w:rFonts w:ascii="Times New Roman" w:hAnsi="Times New Roman" w:cs="Times New Roman"/>
          <w:sz w:val="28"/>
          <w:szCs w:val="28"/>
          <w:lang w:val="en-US"/>
        </w:rPr>
        <w:t>k</w:t>
      </w:r>
      <w:r>
        <w:rPr>
          <w:rFonts w:ascii="Times New Roman" w:hAnsi="Times New Roman" w:cs="Times New Roman"/>
          <w:sz w:val="28"/>
          <w:szCs w:val="28"/>
          <w:vertAlign w:val="subscript"/>
        </w:rPr>
        <w:t>о</w:t>
      </w:r>
      <w:r>
        <w:rPr>
          <w:rFonts w:ascii="Times New Roman" w:hAnsi="Times New Roman" w:cs="Times New Roman"/>
          <w:sz w:val="28"/>
          <w:szCs w:val="28"/>
        </w:rPr>
        <w:t>, (23)</w:t>
      </w:r>
    </w:p>
    <w:p w14:paraId="273EA46B"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29366421" w14:textId="1D2CD363"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vertAlign w:val="subscript"/>
        </w:rPr>
        <w:t>тс</w:t>
      </w:r>
      <w:r>
        <w:rPr>
          <w:rFonts w:ascii="Times New Roman" w:hAnsi="Times New Roman" w:cs="Times New Roman"/>
          <w:sz w:val="28"/>
          <w:szCs w:val="28"/>
        </w:rPr>
        <w:t xml:space="preserve"> – общее за последние 5 лет количество технологических нарушений, аварий или инцидентов на объектах электросетевого хозяйства территориальной сетевой организации, в результате которых произошло прекращение передачи электрической энергии потребителю услуг такой территориальной сетевой организации (включая частичное ограничение режима потребления электрической энергии потребителя услуг), с кодами </w:t>
      </w:r>
      <w:hyperlink r:id="rId12" w:tooltip="consultantplus://offline/ref=FF15E70820E43863358A4F63A31184CE310AB1DA45D993948EC8C4901496CD0F13F1362F14860967D4033C728696660A5A712AB3BDv7K0O" w:history="1">
        <w:r>
          <w:rPr>
            <w:rFonts w:ascii="Times New Roman" w:hAnsi="Times New Roman" w:cs="Times New Roman"/>
            <w:sz w:val="28"/>
            <w:szCs w:val="28"/>
          </w:rPr>
          <w:t>4.1</w:t>
        </w:r>
      </w:hyperlink>
      <w:r>
        <w:rPr>
          <w:rFonts w:ascii="Times New Roman" w:hAnsi="Times New Roman" w:cs="Times New Roman"/>
          <w:sz w:val="28"/>
          <w:szCs w:val="28"/>
        </w:rPr>
        <w:t xml:space="preserve">, </w:t>
      </w:r>
      <w:hyperlink r:id="rId13" w:tooltip="consultantplus://offline/ref=FF15E70820E43863358A4F63A31184CE310AB1DA45D993948EC8C4901496CD0F13F1362F138F0967D4033C728696660A5A712AB3BDv7K0O" w:history="1">
        <w:r>
          <w:rPr>
            <w:rFonts w:ascii="Times New Roman" w:hAnsi="Times New Roman" w:cs="Times New Roman"/>
            <w:sz w:val="28"/>
            <w:szCs w:val="28"/>
          </w:rPr>
          <w:t>4.2</w:t>
        </w:r>
      </w:hyperlink>
      <w:r>
        <w:rPr>
          <w:rFonts w:ascii="Times New Roman" w:hAnsi="Times New Roman" w:cs="Times New Roman"/>
          <w:sz w:val="28"/>
          <w:szCs w:val="28"/>
        </w:rPr>
        <w:t xml:space="preserve">, </w:t>
      </w:r>
      <w:hyperlink r:id="rId14" w:tooltip="consultantplus://offline/ref=FF15E70820E43863358A4F63A31184CE310AB1DA45D993948EC8C4901496CD0F13F1362F128D0967D4033C728696660A5A712AB3BDv7K0O" w:history="1">
        <w:r>
          <w:rPr>
            <w:rFonts w:ascii="Times New Roman" w:hAnsi="Times New Roman" w:cs="Times New Roman"/>
            <w:sz w:val="28"/>
            <w:szCs w:val="28"/>
          </w:rPr>
          <w:t>4.6</w:t>
        </w:r>
      </w:hyperlink>
      <w:r>
        <w:rPr>
          <w:rFonts w:ascii="Times New Roman" w:hAnsi="Times New Roman" w:cs="Times New Roman"/>
          <w:sz w:val="28"/>
          <w:szCs w:val="28"/>
        </w:rPr>
        <w:t xml:space="preserve"> – </w:t>
      </w:r>
      <w:hyperlink r:id="rId15" w:tooltip="consultantplus://offline/ref=FF15E70820E43863358A4F63A31184CE310AB1DA45D993948EC8C4901496CD0F13F1362F12870967D4033C728696660A5A712AB3BDv7K0O" w:history="1">
        <w:r>
          <w:rPr>
            <w:rFonts w:ascii="Times New Roman" w:hAnsi="Times New Roman" w:cs="Times New Roman"/>
            <w:sz w:val="28"/>
            <w:szCs w:val="28"/>
          </w:rPr>
          <w:t>4.8</w:t>
        </w:r>
      </w:hyperlink>
      <w:r>
        <w:rPr>
          <w:rFonts w:ascii="Times New Roman" w:hAnsi="Times New Roman" w:cs="Times New Roman"/>
          <w:sz w:val="28"/>
          <w:szCs w:val="28"/>
        </w:rPr>
        <w:t xml:space="preserve">, </w:t>
      </w:r>
      <w:hyperlink r:id="rId16" w:tooltip="consultantplus://offline/ref=FF15E70820E43863358A4F63A31184CE310AB1DA45D993948EC8C4901496CD0F13F1362F108F0967D4033C728696660A5A712AB3BDv7K0O" w:history="1">
        <w:r>
          <w:rPr>
            <w:rFonts w:ascii="Times New Roman" w:hAnsi="Times New Roman" w:cs="Times New Roman"/>
            <w:sz w:val="28"/>
            <w:szCs w:val="28"/>
          </w:rPr>
          <w:t>4.12</w:t>
        </w:r>
      </w:hyperlink>
      <w:r>
        <w:rPr>
          <w:rFonts w:ascii="Times New Roman" w:hAnsi="Times New Roman" w:cs="Times New Roman"/>
          <w:sz w:val="28"/>
          <w:szCs w:val="28"/>
        </w:rPr>
        <w:t xml:space="preserve"> и </w:t>
      </w:r>
      <w:hyperlink r:id="rId17" w:tooltip="consultantplus://offline/ref=FF15E70820E43863358A4F63A31184CE310AB1DA45D993948EC8C4901496CD0F13F1362F1F8E0967D4033C728696660A5A712AB3BDv7K0O" w:history="1">
        <w:r>
          <w:rPr>
            <w:rFonts w:ascii="Times New Roman" w:hAnsi="Times New Roman" w:cs="Times New Roman"/>
            <w:sz w:val="28"/>
            <w:szCs w:val="28"/>
          </w:rPr>
          <w:t>4.15</w:t>
        </w:r>
      </w:hyperlink>
      <w:r>
        <w:rPr>
          <w:rFonts w:ascii="Times New Roman" w:hAnsi="Times New Roman" w:cs="Times New Roman"/>
          <w:sz w:val="28"/>
          <w:szCs w:val="28"/>
        </w:rPr>
        <w:t xml:space="preserve"> – </w:t>
      </w:r>
      <w:hyperlink r:id="rId18" w:tooltip="consultantplus://offline/ref=FF15E70820E43863358A4F63A31184CE310AB1DA45D993948EC8C4901496CD0F13F1362F1F870967D4033C728696660A5A712AB3BDv7K0O" w:history="1">
        <w:r>
          <w:rPr>
            <w:rFonts w:ascii="Times New Roman" w:hAnsi="Times New Roman" w:cs="Times New Roman"/>
            <w:sz w:val="28"/>
            <w:szCs w:val="28"/>
          </w:rPr>
          <w:t>4.18</w:t>
        </w:r>
      </w:hyperlink>
      <w:r>
        <w:rPr>
          <w:rFonts w:ascii="Times New Roman" w:hAnsi="Times New Roman" w:cs="Times New Roman"/>
          <w:sz w:val="28"/>
          <w:szCs w:val="28"/>
        </w:rPr>
        <w:t xml:space="preserve"> </w:t>
      </w:r>
      <w:r w:rsidR="00137F07">
        <w:rPr>
          <w:rFonts w:ascii="Times New Roman" w:hAnsi="Times New Roman" w:cs="Times New Roman"/>
          <w:sz w:val="28"/>
          <w:szCs w:val="28"/>
        </w:rPr>
        <w:t>признак</w:t>
      </w:r>
      <w:r w:rsidR="00FF3F74">
        <w:rPr>
          <w:rFonts w:ascii="Times New Roman" w:hAnsi="Times New Roman" w:cs="Times New Roman"/>
          <w:sz w:val="28"/>
          <w:szCs w:val="28"/>
        </w:rPr>
        <w:t>ов</w:t>
      </w:r>
      <w:r>
        <w:rPr>
          <w:rFonts w:ascii="Times New Roman" w:hAnsi="Times New Roman" w:cs="Times New Roman"/>
          <w:sz w:val="28"/>
          <w:szCs w:val="28"/>
        </w:rPr>
        <w:t xml:space="preserve"> повреждения оборудования в соответствии с </w:t>
      </w:r>
      <w:r w:rsidR="00FF3F74">
        <w:rPr>
          <w:rFonts w:ascii="Times New Roman" w:hAnsi="Times New Roman" w:cs="Times New Roman"/>
          <w:sz w:val="28"/>
          <w:szCs w:val="28"/>
        </w:rPr>
        <w:t xml:space="preserve">таблицей 5 </w:t>
      </w:r>
      <w:r>
        <w:rPr>
          <w:rFonts w:ascii="Times New Roman" w:hAnsi="Times New Roman" w:cs="Times New Roman"/>
          <w:sz w:val="28"/>
          <w:szCs w:val="28"/>
        </w:rPr>
        <w:t>приложени</w:t>
      </w:r>
      <w:r w:rsidR="00FF3F74">
        <w:rPr>
          <w:rFonts w:ascii="Times New Roman" w:hAnsi="Times New Roman" w:cs="Times New Roman"/>
          <w:sz w:val="28"/>
          <w:szCs w:val="28"/>
        </w:rPr>
        <w:t>я</w:t>
      </w:r>
      <w:r>
        <w:rPr>
          <w:rFonts w:ascii="Times New Roman" w:hAnsi="Times New Roman" w:cs="Times New Roman"/>
          <w:sz w:val="28"/>
          <w:szCs w:val="28"/>
        </w:rPr>
        <w:t xml:space="preserve"> № </w:t>
      </w:r>
      <w:r w:rsidR="00FF3F74">
        <w:rPr>
          <w:rFonts w:ascii="Times New Roman" w:hAnsi="Times New Roman" w:cs="Times New Roman"/>
          <w:sz w:val="28"/>
          <w:szCs w:val="28"/>
        </w:rPr>
        <w:t>2</w:t>
      </w:r>
      <w:r>
        <w:rPr>
          <w:rFonts w:ascii="Times New Roman" w:hAnsi="Times New Roman" w:cs="Times New Roman"/>
          <w:sz w:val="28"/>
          <w:szCs w:val="28"/>
        </w:rPr>
        <w:t xml:space="preserve"> к </w:t>
      </w:r>
      <w:r w:rsidR="00FF3F74">
        <w:rPr>
          <w:rFonts w:ascii="Times New Roman" w:hAnsi="Times New Roman" w:cs="Times New Roman"/>
          <w:sz w:val="28"/>
          <w:szCs w:val="28"/>
        </w:rPr>
        <w:t>Требованиям</w:t>
      </w:r>
      <w:r>
        <w:rPr>
          <w:rFonts w:ascii="Times New Roman" w:hAnsi="Times New Roman" w:cs="Times New Roman"/>
          <w:sz w:val="28"/>
          <w:szCs w:val="28"/>
        </w:rPr>
        <w:t>, шт.;</w:t>
      </w:r>
    </w:p>
    <w:p w14:paraId="26AC15DD"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vertAlign w:val="subscript"/>
        </w:rPr>
        <w:t>о</w:t>
      </w:r>
      <w:r>
        <w:rPr>
          <w:rFonts w:ascii="Times New Roman" w:hAnsi="Times New Roman" w:cs="Times New Roman"/>
          <w:sz w:val="28"/>
          <w:szCs w:val="28"/>
        </w:rPr>
        <w:t xml:space="preserve"> – общее за последние 5 лет количество технологических нарушений, аварий </w:t>
      </w:r>
      <w:r>
        <w:rPr>
          <w:rFonts w:ascii="Times New Roman" w:hAnsi="Times New Roman" w:cs="Times New Roman"/>
          <w:sz w:val="28"/>
          <w:szCs w:val="28"/>
        </w:rPr>
        <w:lastRenderedPageBreak/>
        <w:t>или инцидентов на объектах электросетевого хозяйства территориальной сетевой организации, в результате которых произошло прекращение передачи электрической энергии потребителю услуг такой территориальной сетевой организации (включая частичное ограничение режима потребления электрической энергии потребителя услуг), шт.;</w:t>
      </w:r>
    </w:p>
    <w:p w14:paraId="32CF8AE4"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vertAlign w:val="subscript"/>
        </w:rPr>
        <w:t>i</w:t>
      </w:r>
      <w:r>
        <w:rPr>
          <w:rFonts w:ascii="Times New Roman" w:hAnsi="Times New Roman" w:cs="Times New Roman"/>
          <w:sz w:val="28"/>
          <w:szCs w:val="28"/>
        </w:rPr>
        <w:t xml:space="preserve"> – время неработоспособного состояния i-ой единицы основного технологического оборудования:</w:t>
      </w:r>
    </w:p>
    <w:p w14:paraId="5F100ADE"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w:t>
      </w:r>
      <w:r>
        <w:rPr>
          <w:rFonts w:ascii="Times New Roman" w:hAnsi="Times New Roman" w:cs="Times New Roman"/>
          <w:sz w:val="28"/>
          <w:szCs w:val="28"/>
          <w:lang w:val="en-US"/>
        </w:rPr>
        <w:t>λi</w:t>
      </w:r>
      <w:r>
        <w:rPr>
          <w:rFonts w:ascii="Times New Roman" w:hAnsi="Times New Roman" w:cs="Times New Roman"/>
          <w:sz w:val="28"/>
          <w:szCs w:val="28"/>
        </w:rPr>
        <w:t xml:space="preserve"> * </w:t>
      </w:r>
      <w:r>
        <w:rPr>
          <w:rFonts w:ascii="Times New Roman" w:hAnsi="Times New Roman" w:cs="Times New Roman"/>
          <w:sz w:val="28"/>
          <w:szCs w:val="28"/>
          <w:lang w:val="en-US"/>
        </w:rPr>
        <w:t>t</w:t>
      </w:r>
      <w:r>
        <w:rPr>
          <w:rFonts w:ascii="Times New Roman" w:hAnsi="Times New Roman" w:cs="Times New Roman"/>
          <w:sz w:val="28"/>
          <w:szCs w:val="28"/>
          <w:vertAlign w:val="subscript"/>
        </w:rPr>
        <w:t>в</w:t>
      </w:r>
      <w:r>
        <w:rPr>
          <w:rFonts w:ascii="Times New Roman" w:hAnsi="Times New Roman" w:cs="Times New Roman"/>
          <w:sz w:val="28"/>
          <w:szCs w:val="28"/>
          <w:vertAlign w:val="subscript"/>
          <w:lang w:val="en-US"/>
        </w:rPr>
        <w:t>i</w:t>
      </w:r>
      <w:r>
        <w:rPr>
          <w:rFonts w:ascii="Times New Roman" w:hAnsi="Times New Roman" w:cs="Times New Roman"/>
          <w:sz w:val="28"/>
          <w:szCs w:val="28"/>
        </w:rPr>
        <w:t>, (24)</w:t>
      </w:r>
    </w:p>
    <w:p w14:paraId="057DCFC7"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4698B2B3"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λi</w:t>
      </w:r>
      <w:r>
        <w:rPr>
          <w:rFonts w:ascii="Times New Roman" w:hAnsi="Times New Roman" w:cs="Times New Roman"/>
          <w:sz w:val="28"/>
          <w:szCs w:val="28"/>
        </w:rPr>
        <w:t xml:space="preserve"> – интенсивность отказов i-ой единицы основного технологического оборудования в год, рассчитанная по формуле </w:t>
      </w:r>
      <w:proofErr w:type="gramStart"/>
      <w:r>
        <w:rPr>
          <w:rFonts w:ascii="Times New Roman" w:hAnsi="Times New Roman" w:cs="Times New Roman"/>
          <w:sz w:val="28"/>
          <w:szCs w:val="28"/>
        </w:rPr>
        <w:t>25 Методических</w:t>
      </w:r>
      <w:proofErr w:type="gramEnd"/>
      <w:r>
        <w:rPr>
          <w:rFonts w:ascii="Times New Roman" w:hAnsi="Times New Roman" w:cs="Times New Roman"/>
          <w:sz w:val="28"/>
          <w:szCs w:val="28"/>
        </w:rPr>
        <w:t xml:space="preserve"> указаний;</w:t>
      </w:r>
    </w:p>
    <w:p w14:paraId="6B0C59B6"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vertAlign w:val="subscript"/>
        </w:rPr>
        <w:t>вi</w:t>
      </w:r>
      <w:r>
        <w:rPr>
          <w:rFonts w:ascii="Times New Roman" w:hAnsi="Times New Roman" w:cs="Times New Roman"/>
          <w:sz w:val="28"/>
          <w:szCs w:val="28"/>
        </w:rPr>
        <w:t xml:space="preserve"> – время восстановления работы i-ой единицы основного технологического оборудования в соответствии с </w:t>
      </w:r>
      <w:r>
        <w:rPr>
          <w:rStyle w:val="Hyperlink"/>
          <w:rFonts w:ascii="Times New Roman" w:hAnsi="Times New Roman" w:cs="Times New Roman"/>
          <w:color w:val="auto"/>
          <w:sz w:val="28"/>
          <w:szCs w:val="28"/>
          <w:u w:val="none"/>
        </w:rPr>
        <w:t xml:space="preserve">приложением № 2 к </w:t>
      </w:r>
      <w:r>
        <w:rPr>
          <w:rFonts w:ascii="Times New Roman" w:hAnsi="Times New Roman" w:cs="Times New Roman"/>
          <w:sz w:val="28"/>
          <w:szCs w:val="28"/>
        </w:rPr>
        <w:t>Методическим указаниям, ч. Указанное время восстановления работы единицы основного технологического оборудования может уточняться субъектом электроэнергетики в сторону снижения;</w:t>
      </w:r>
    </w:p>
    <w:p w14:paraId="53DA8F68"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λi</w:t>
      </w:r>
      <w:r>
        <w:rPr>
          <w:rFonts w:ascii="Times New Roman" w:hAnsi="Times New Roman" w:cs="Times New Roman"/>
          <w:sz w:val="28"/>
          <w:szCs w:val="28"/>
        </w:rPr>
        <w:t xml:space="preserve"> – интенсивность отказов i-ой единицы основного технологического оборудования в год:</w:t>
      </w:r>
    </w:p>
    <w:p w14:paraId="02BC5F07"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lang w:val="en-US"/>
        </w:rPr>
        <w:t>λi</w:t>
      </w:r>
      <w:r>
        <w:rPr>
          <w:rFonts w:ascii="Times New Roman" w:hAnsi="Times New Roman" w:cs="Times New Roman"/>
          <w:sz w:val="28"/>
          <w:szCs w:val="28"/>
        </w:rPr>
        <w:t xml:space="preserve"> = – </w:t>
      </w:r>
      <w:proofErr w:type="gramStart"/>
      <w:r>
        <w:rPr>
          <w:rFonts w:ascii="Times New Roman" w:hAnsi="Times New Roman" w:cs="Times New Roman"/>
          <w:sz w:val="28"/>
          <w:szCs w:val="28"/>
          <w:lang w:val="en-US"/>
        </w:rPr>
        <w:t>ln</w:t>
      </w:r>
      <w:r>
        <w:rPr>
          <w:rFonts w:ascii="Times New Roman" w:hAnsi="Times New Roman" w:cs="Times New Roman"/>
          <w:sz w:val="28"/>
          <w:szCs w:val="28"/>
        </w:rPr>
        <w:t>(</w:t>
      </w:r>
      <w:proofErr w:type="gramEnd"/>
      <w:r>
        <w:rPr>
          <w:rFonts w:ascii="Times New Roman" w:hAnsi="Times New Roman" w:cs="Times New Roman"/>
          <w:sz w:val="28"/>
          <w:szCs w:val="28"/>
        </w:rPr>
        <w:t xml:space="preserve">1 – </w:t>
      </w:r>
      <w:r>
        <w:rPr>
          <w:rFonts w:ascii="Times New Roman" w:hAnsi="Times New Roman" w:cs="Times New Roman"/>
          <w:sz w:val="28"/>
          <w:szCs w:val="28"/>
          <w:lang w:val="en-US"/>
        </w:rPr>
        <w:t>P</w:t>
      </w:r>
      <w:r>
        <w:rPr>
          <w:rFonts w:ascii="Times New Roman" w:hAnsi="Times New Roman" w:cs="Times New Roman"/>
          <w:sz w:val="28"/>
          <w:szCs w:val="28"/>
          <w:vertAlign w:val="subscript"/>
        </w:rPr>
        <w:t>ЕО</w:t>
      </w:r>
      <w:r>
        <w:rPr>
          <w:rFonts w:ascii="Times New Roman" w:hAnsi="Times New Roman" w:cs="Times New Roman"/>
          <w:sz w:val="28"/>
          <w:szCs w:val="28"/>
          <w:vertAlign w:val="subscript"/>
          <w:lang w:val="en-US"/>
        </w:rPr>
        <w:t>i</w:t>
      </w:r>
      <w:r>
        <w:rPr>
          <w:rFonts w:ascii="Times New Roman" w:hAnsi="Times New Roman" w:cs="Times New Roman"/>
          <w:sz w:val="28"/>
          <w:szCs w:val="28"/>
        </w:rPr>
        <w:t>), (25)</w:t>
      </w:r>
    </w:p>
    <w:p w14:paraId="0F9645A5"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12FA83F8"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vertAlign w:val="subscript"/>
        </w:rPr>
        <w:t>ЕОi</w:t>
      </w:r>
      <w:r>
        <w:rPr>
          <w:rFonts w:ascii="Times New Roman" w:hAnsi="Times New Roman" w:cs="Times New Roman"/>
          <w:sz w:val="28"/>
          <w:szCs w:val="28"/>
        </w:rPr>
        <w:t xml:space="preserve"> – прогноз вероятности отказа i-ой единицы основного технологического оборудования, рассчитанный в соответствии с пунктом </w:t>
      </w:r>
      <w:hyperlink w:anchor="P100" w:tooltip="#P100" w:history="1">
        <w:r>
          <w:rPr>
            <w:rFonts w:ascii="Times New Roman" w:hAnsi="Times New Roman" w:cs="Times New Roman"/>
            <w:sz w:val="28"/>
            <w:szCs w:val="28"/>
          </w:rPr>
          <w:t>11</w:t>
        </w:r>
      </w:hyperlink>
      <w:r>
        <w:rPr>
          <w:rFonts w:ascii="Times New Roman" w:hAnsi="Times New Roman" w:cs="Times New Roman"/>
          <w:sz w:val="28"/>
          <w:szCs w:val="28"/>
        </w:rPr>
        <w:t xml:space="preserve"> Методических указаний.</w:t>
      </w:r>
    </w:p>
    <w:p w14:paraId="2FA56DFA" w14:textId="12CB90E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средней частоты прекращений передачи электрической энергии на точку поставки территориальной сетевой организации </w:t>
      </w:r>
      <w:r w:rsidR="00137F07">
        <w:rPr>
          <w:rFonts w:ascii="Times New Roman" w:hAnsi="Times New Roman" w:cs="Times New Roman"/>
          <w:sz w:val="28"/>
          <w:szCs w:val="28"/>
        </w:rPr>
        <w:t>(</w:t>
      </w:r>
      <w:r>
        <w:rPr>
          <w:rFonts w:ascii="Times New Roman" w:hAnsi="Times New Roman" w:cs="Times New Roman"/>
          <w:sz w:val="28"/>
          <w:szCs w:val="28"/>
        </w:rPr>
        <w:t>SAIFI</w:t>
      </w:r>
      <w:r w:rsidR="00137F07">
        <w:rPr>
          <w:rFonts w:ascii="Times New Roman" w:hAnsi="Times New Roman" w:cs="Times New Roman"/>
          <w:sz w:val="28"/>
          <w:szCs w:val="28"/>
        </w:rPr>
        <w:t>)</w:t>
      </w:r>
      <w:r>
        <w:rPr>
          <w:rFonts w:ascii="Times New Roman" w:hAnsi="Times New Roman" w:cs="Times New Roman"/>
          <w:sz w:val="28"/>
          <w:szCs w:val="28"/>
        </w:rPr>
        <w:t xml:space="preserve"> рассчитывается </w:t>
      </w:r>
      <w:r>
        <w:rPr>
          <w:rFonts w:ascii="Times New Roman" w:hAnsi="Times New Roman" w:cs="Times New Roman"/>
          <w:sz w:val="28"/>
          <w:szCs w:val="28"/>
        </w:rPr>
        <w:br/>
        <w:t>по формуле:</w:t>
      </w:r>
    </w:p>
    <w:p w14:paraId="50867721" w14:textId="77777777" w:rsidR="005979D5" w:rsidRDefault="002B4D7C">
      <w:pPr>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lang w:val="en-US"/>
        </w:rPr>
        <w:t>SAIFI</w:t>
      </w:r>
      <w:r>
        <w:rPr>
          <w:rFonts w:ascii="Times New Roman" w:hAnsi="Times New Roman" w:cs="Times New Roman"/>
          <w:sz w:val="28"/>
          <w:szCs w:val="28"/>
        </w:rPr>
        <w:t xml:space="preserve"> = </w:t>
      </w:r>
      <w:r>
        <w:rPr>
          <w:rFonts w:ascii="Times New Roman" w:hAnsi="Times New Roman" w:cs="Times New Roman"/>
          <w:sz w:val="28"/>
          <w:szCs w:val="28"/>
          <w:lang w:val="en-US"/>
        </w:rPr>
        <w:t>SAIFI</w:t>
      </w:r>
      <w:r>
        <w:rPr>
          <w:rFonts w:ascii="Times New Roman" w:hAnsi="Times New Roman" w:cs="Times New Roman"/>
          <w:sz w:val="28"/>
          <w:szCs w:val="28"/>
          <w:vertAlign w:val="subscript"/>
        </w:rPr>
        <w:t>расч</w:t>
      </w:r>
      <w:r>
        <w:rPr>
          <w:rFonts w:ascii="Times New Roman" w:hAnsi="Times New Roman" w:cs="Times New Roman"/>
          <w:sz w:val="28"/>
          <w:szCs w:val="28"/>
        </w:rPr>
        <w:t xml:space="preserve"> * (1 – </w:t>
      </w:r>
      <w:r>
        <w:rPr>
          <w:rFonts w:ascii="Times New Roman" w:hAnsi="Times New Roman" w:cs="Times New Roman"/>
          <w:sz w:val="28"/>
          <w:szCs w:val="28"/>
          <w:lang w:val="en-US"/>
        </w:rPr>
        <w:t>k</w:t>
      </w:r>
      <w:r>
        <w:rPr>
          <w:rFonts w:ascii="Times New Roman" w:hAnsi="Times New Roman" w:cs="Times New Roman"/>
          <w:sz w:val="28"/>
          <w:szCs w:val="28"/>
        </w:rPr>
        <w:t xml:space="preserve">пр) + </w:t>
      </w:r>
      <m:oMath>
        <m:f>
          <m:fPr>
            <m:ctrlPr>
              <w:rPr>
                <w:rFonts w:ascii="Cambria Math" w:hAnsi="Cambria Math" w:cs="Times New Roman"/>
                <w:i/>
                <w:sz w:val="28"/>
                <w:szCs w:val="28"/>
                <w:lang w:val="en-US"/>
              </w:rPr>
            </m:ctrlPr>
          </m:fPr>
          <m:num>
            <m:nary>
              <m:naryPr>
                <m:chr m:val="∑"/>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lang w:val="en-US"/>
                  </w:rPr>
                  <m:t>λi</m:t>
                </m:r>
                <m:r>
                  <w:rPr>
                    <w:rFonts w:ascii="Cambria Math" w:hAnsi="Cambria Math" w:cs="Times New Roman"/>
                    <w:sz w:val="28"/>
                    <w:szCs w:val="28"/>
                  </w:rPr>
                  <m:t>*</m:t>
                </m:r>
                <m:r>
                  <w:rPr>
                    <w:rFonts w:ascii="Cambria Math" w:hAnsi="Cambria Math" w:cs="Times New Roman"/>
                    <w:sz w:val="28"/>
                    <w:szCs w:val="28"/>
                    <w:lang w:val="en-US"/>
                  </w:rPr>
                  <m:t>Ni</m:t>
                </m:r>
              </m:e>
            </m:nary>
          </m:num>
          <m:den>
            <m:r>
              <w:rPr>
                <w:rFonts w:ascii="Cambria Math" w:hAnsi="Cambria Math" w:cs="Times New Roman"/>
                <w:sz w:val="28"/>
                <w:szCs w:val="28"/>
                <w:lang w:val="en-US"/>
              </w:rPr>
              <m:t>Nmax</m:t>
            </m:r>
          </m:den>
        </m:f>
      </m:oMath>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(26)</w:t>
      </w:r>
    </w:p>
    <w:p w14:paraId="21A50B36"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53ABD149"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SAIFI</w:t>
      </w:r>
      <w:r>
        <w:rPr>
          <w:rFonts w:ascii="Times New Roman" w:hAnsi="Times New Roman" w:cs="Times New Roman"/>
          <w:sz w:val="28"/>
          <w:szCs w:val="28"/>
          <w:vertAlign w:val="subscript"/>
        </w:rPr>
        <w:t>расч</w:t>
      </w:r>
      <w:r>
        <w:rPr>
          <w:rFonts w:ascii="Times New Roman" w:hAnsi="Times New Roman" w:cs="Times New Roman"/>
          <w:sz w:val="28"/>
          <w:szCs w:val="28"/>
        </w:rPr>
        <w:t xml:space="preserve"> – фактическое значение за последний календарный год показателя надежности оказываемых услуг территориальных сетевых организаций – средней частоты прекращений передачи электрической энергии на точку поставки, определенной в соответствии с </w:t>
      </w:r>
      <w:hyperlink r:id="rId19" w:tooltip="consultantplus://offline/ref=FF15E70820E43863358A4F63A31184CE3100B3D84CDC93948EC8C4901496CD0F13F1362A178E0232864C3D2EC3C6750A5F7129B3A27BE3F5vBKFO" w:history="1">
        <w:r>
          <w:rPr>
            <w:rFonts w:ascii="Times New Roman" w:hAnsi="Times New Roman" w:cs="Times New Roman"/>
            <w:sz w:val="28"/>
            <w:szCs w:val="28"/>
          </w:rPr>
          <w:t>методикой</w:t>
        </w:r>
      </w:hyperlink>
      <w:r>
        <w:rPr>
          <w:rFonts w:ascii="Times New Roman" w:hAnsi="Times New Roman" w:cs="Times New Roman"/>
          <w:sz w:val="28"/>
          <w:szCs w:val="28"/>
        </w:rPr>
        <w:t xml:space="preserve"> по расчету уровня надежности;</w:t>
      </w:r>
    </w:p>
    <w:p w14:paraId="0188BFFB"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position w:val="-8"/>
          <w:sz w:val="28"/>
          <w:szCs w:val="28"/>
          <w:lang w:val="en-US"/>
        </w:rPr>
        <w:lastRenderedPageBreak/>
        <mc:AlternateContent>
          <mc:Choice Requires="wpg">
            <w:drawing>
              <wp:inline distT="0" distB="0" distL="0" distR="0" wp14:anchorId="489CC67D" wp14:editId="4177930F">
                <wp:extent cx="163830" cy="259080"/>
                <wp:effectExtent l="0" t="0" r="7620" b="7620"/>
                <wp:docPr id="1" name="Рисунок 32" descr="base_1_321979_32798"/>
                <wp:cNvGraphicFramePr/>
                <a:graphic xmlns:a="http://schemas.openxmlformats.org/drawingml/2006/main">
                  <a:graphicData uri="http://schemas.openxmlformats.org/drawingml/2006/picture">
                    <pic:pic xmlns:pic="http://schemas.openxmlformats.org/drawingml/2006/picture">
                      <pic:nvPicPr>
                        <pic:cNvPr id="0" name="Picture 19" descr="base_1_321979_32798"/>
                        <pic:cNvPicPr>
                          <a:picLocks noChangeArrowheads="1"/>
                        </pic:cNvPicPr>
                      </pic:nvPicPr>
                      <pic:blipFill>
                        <a:blip r:embed="rId20"/>
                        <a:stretch/>
                      </pic:blipFill>
                      <pic:spPr bwMode="auto">
                        <a:xfrm>
                          <a:off x="0" y="0"/>
                          <a:ext cx="163830" cy="259080"/>
                        </a:xfrm>
                        <a:prstGeom prst="rect">
                          <a:avLst/>
                        </a:prstGeom>
                        <a:noFill/>
                        <a:ln>
                          <a:noFill/>
                        </a:ln>
                      </pic:spPr>
                    </pic:pic>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90pt;height:20.40pt;mso-wrap-distance-left:0.00pt;mso-wrap-distance-top:0.00pt;mso-wrap-distance-right:0.00pt;mso-wrap-distance-bottom:0.00pt;" stroked="f">
                <v:path textboxrect="0,0,0,0"/>
                <v:imagedata r:id="rId25" o:title=""/>
              </v:shape>
            </w:pict>
          </mc:Fallback>
        </mc:AlternateContent>
      </w:r>
      <w:r>
        <w:rPr>
          <w:rFonts w:ascii="Times New Roman" w:hAnsi="Times New Roman" w:cs="Times New Roman"/>
          <w:sz w:val="28"/>
          <w:szCs w:val="28"/>
        </w:rPr>
        <w:t xml:space="preserve"> – интенсивность отказов i-ой единицы основного технологического оборудования в год, рассчитанная в соответствии с пунктом 29 Методических указаний;</w:t>
      </w:r>
    </w:p>
    <w:p w14:paraId="7639A738" w14:textId="77777777" w:rsidR="005979D5" w:rsidRDefault="002B4D7C">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i</w:t>
      </w:r>
      <w:r>
        <w:rPr>
          <w:rFonts w:ascii="Times New Roman" w:hAnsi="Times New Roman" w:cs="Times New Roman"/>
          <w:sz w:val="28"/>
          <w:szCs w:val="28"/>
        </w:rPr>
        <w:t xml:space="preserve"> – количество точек поставки потребителей услуг территориальной сетевой организации, энергопринимающие устройства которых присоединены к объектам электросетевого хозяйства такой территориальной сетевой организации и в отношении которых прогнозируется прекращение передачи электрической энергии потребителю услуг такой территориальной сетевой организации (включая частичное ограничение режима потребления электрической энергии потребителя услуг) </w:t>
      </w:r>
      <w:r>
        <w:rPr>
          <w:rFonts w:ascii="Times New Roman" w:hAnsi="Times New Roman" w:cs="Times New Roman"/>
          <w:sz w:val="28"/>
          <w:szCs w:val="28"/>
        </w:rPr>
        <w:br/>
        <w:t>в результате технологического нарушения из-за отказа единицы основного технологического оборудования, шт.;</w:t>
      </w:r>
    </w:p>
    <w:p w14:paraId="1CD1018A"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max</w:t>
      </w:r>
      <w:r>
        <w:rPr>
          <w:rFonts w:ascii="Times New Roman" w:hAnsi="Times New Roman" w:cs="Times New Roman"/>
          <w:sz w:val="28"/>
          <w:szCs w:val="28"/>
        </w:rPr>
        <w:t xml:space="preserve"> – прогнозируемое на текущий год максимальное количество точек поставки потребителей услуг территориальной сетевой организации, энергопринимающие устройства которых присоединены к объектам электросетевого хозяйства такой территориальной сетевой организации, шт.;</w:t>
      </w:r>
    </w:p>
    <w:p w14:paraId="1934C342"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kпр – поправочный коэффициент, рассчитанный в соответствии с пунктом 29 Методических указаний.</w:t>
      </w:r>
    </w:p>
    <w:p w14:paraId="18337054" w14:textId="040F1747" w:rsidR="005979D5" w:rsidRDefault="002B4D7C">
      <w:pPr>
        <w:pStyle w:val="ListParagraph"/>
        <w:numPr>
          <w:ilvl w:val="0"/>
          <w:numId w:val="5"/>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Прогноз объема недоотпущенной электрической энергии организации </w:t>
      </w:r>
      <w:r>
        <w:rPr>
          <w:rFonts w:ascii="Times New Roman" w:hAnsi="Times New Roman" w:cs="Times New Roman"/>
          <w:sz w:val="28"/>
          <w:szCs w:val="28"/>
        </w:rPr>
        <w:br/>
        <w:t xml:space="preserve">по управлению единой национальной (общероссийской) электрической сетью </w:t>
      </w:r>
      <w:r w:rsidR="00137F07">
        <w:rPr>
          <w:rFonts w:ascii="Times New Roman" w:hAnsi="Times New Roman" w:cs="Times New Roman"/>
          <w:sz w:val="28"/>
          <w:szCs w:val="28"/>
        </w:rPr>
        <w:t>(</w:t>
      </w:r>
      <w:r>
        <w:rPr>
          <w:rFonts w:ascii="Times New Roman" w:hAnsi="Times New Roman" w:cs="Times New Roman"/>
          <w:sz w:val="28"/>
          <w:szCs w:val="28"/>
        </w:rPr>
        <w:t>ENS</w:t>
      </w:r>
      <w:r w:rsidR="00137F07">
        <w:rPr>
          <w:rFonts w:ascii="Times New Roman" w:hAnsi="Times New Roman" w:cs="Times New Roman"/>
          <w:sz w:val="28"/>
          <w:szCs w:val="28"/>
        </w:rPr>
        <w:t>)</w:t>
      </w:r>
      <w:r>
        <w:rPr>
          <w:rFonts w:ascii="Times New Roman" w:hAnsi="Times New Roman" w:cs="Times New Roman"/>
          <w:sz w:val="28"/>
          <w:szCs w:val="28"/>
        </w:rPr>
        <w:t xml:space="preserve"> рассчитывается по формуле:</w:t>
      </w:r>
    </w:p>
    <w:p w14:paraId="402E4138" w14:textId="77777777" w:rsidR="005979D5" w:rsidRDefault="002B4D7C">
      <w:pPr>
        <w:spacing w:after="0" w:line="360" w:lineRule="auto"/>
        <w:ind w:firstLine="567"/>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ENS = ENS</w:t>
      </w:r>
      <w:r>
        <w:rPr>
          <w:rFonts w:ascii="Times New Roman" w:hAnsi="Times New Roman" w:cs="Times New Roman"/>
          <w:sz w:val="28"/>
          <w:szCs w:val="28"/>
          <w:vertAlign w:val="subscript"/>
        </w:rPr>
        <w:t>расч</w:t>
      </w:r>
      <w:r>
        <w:rPr>
          <w:rFonts w:ascii="Times New Roman" w:hAnsi="Times New Roman" w:cs="Times New Roman"/>
          <w:sz w:val="28"/>
          <w:szCs w:val="28"/>
          <w:lang w:val="en-US"/>
        </w:rPr>
        <w:t xml:space="preserve"> * (1 – k</w:t>
      </w:r>
      <w:r>
        <w:rPr>
          <w:rFonts w:ascii="Times New Roman" w:hAnsi="Times New Roman" w:cs="Times New Roman"/>
          <w:sz w:val="28"/>
          <w:szCs w:val="28"/>
        </w:rPr>
        <w:t>пр</w:t>
      </w:r>
      <w:r>
        <w:rPr>
          <w:rFonts w:ascii="Times New Roman" w:hAnsi="Times New Roman" w:cs="Times New Roman"/>
          <w:sz w:val="28"/>
          <w:szCs w:val="28"/>
          <w:lang w:val="en-US"/>
        </w:rPr>
        <w:t>) + ∑P</w:t>
      </w:r>
      <w:r>
        <w:rPr>
          <w:rFonts w:ascii="Times New Roman" w:hAnsi="Times New Roman" w:cs="Times New Roman"/>
          <w:sz w:val="28"/>
          <w:szCs w:val="28"/>
          <w:vertAlign w:val="subscript"/>
          <w:lang w:val="en-US"/>
        </w:rPr>
        <w:t>i</w:t>
      </w:r>
      <w:r>
        <w:rPr>
          <w:rFonts w:ascii="Times New Roman" w:hAnsi="Times New Roman" w:cs="Times New Roman"/>
          <w:sz w:val="28"/>
          <w:szCs w:val="28"/>
          <w:lang w:val="en-US"/>
        </w:rPr>
        <w:t xml:space="preserve"> * T</w:t>
      </w:r>
      <w:r>
        <w:rPr>
          <w:rFonts w:ascii="Times New Roman" w:hAnsi="Times New Roman" w:cs="Times New Roman"/>
          <w:sz w:val="28"/>
          <w:szCs w:val="28"/>
          <w:vertAlign w:val="subscript"/>
          <w:lang w:val="en-US"/>
        </w:rPr>
        <w:t>i</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 xml:space="preserve"> (27)</w:t>
      </w:r>
    </w:p>
    <w:p w14:paraId="4988D8EF"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21F72FA1"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ENS</w:t>
      </w:r>
      <w:r>
        <w:rPr>
          <w:rFonts w:ascii="Times New Roman" w:hAnsi="Times New Roman" w:cs="Times New Roman"/>
          <w:sz w:val="28"/>
          <w:szCs w:val="28"/>
          <w:vertAlign w:val="subscript"/>
        </w:rPr>
        <w:t>расч</w:t>
      </w:r>
      <w:r>
        <w:rPr>
          <w:rFonts w:ascii="Times New Roman" w:hAnsi="Times New Roman" w:cs="Times New Roman"/>
          <w:sz w:val="28"/>
          <w:szCs w:val="28"/>
        </w:rPr>
        <w:t xml:space="preserve"> – фактическое значение за последний календарный год показателя надежности оказываемых услуг организации по управлению единой национальной (общероссийской) электрической сетью – объема недоотпущенной электрической энергии, определенного в соответствии с методикой по расчету уровня надежности;</w:t>
      </w:r>
    </w:p>
    <w:p w14:paraId="22EAEF0F"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kпр – поправочный коэффициент, рассчитанный в соответствии с пунктом 29 Методических указаний;</w:t>
      </w:r>
    </w:p>
    <w:p w14:paraId="29E1D570"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vertAlign w:val="subscript"/>
        </w:rPr>
        <w:t>i</w:t>
      </w:r>
      <w:r>
        <w:rPr>
          <w:rFonts w:ascii="Times New Roman" w:hAnsi="Times New Roman" w:cs="Times New Roman"/>
          <w:sz w:val="28"/>
          <w:szCs w:val="28"/>
        </w:rPr>
        <w:t xml:space="preserve"> – суммарный объем фактической нагрузки (мощности) на присоединениях потребителей услуг организации по управлению единой национальной </w:t>
      </w:r>
      <w:r>
        <w:rPr>
          <w:rFonts w:ascii="Times New Roman" w:hAnsi="Times New Roman" w:cs="Times New Roman"/>
          <w:sz w:val="28"/>
          <w:szCs w:val="28"/>
        </w:rPr>
        <w:lastRenderedPageBreak/>
        <w:t>(общероссийской) электрической сетью, по которым прогнозируется прекращение передачи электрической энергии потребителю услуг такой организации (включая частичное ограничение режима потребления электрической энергии потребителя услуг) в результате технологического нарушения из-за отказа единицы основного технологического оборудования, МВт;</w:t>
      </w:r>
    </w:p>
    <w:p w14:paraId="57C5EBFF" w14:textId="77777777" w:rsidR="005979D5" w:rsidRDefault="002B4D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vertAlign w:val="subscript"/>
        </w:rPr>
        <w:t>i</w:t>
      </w:r>
      <w:r>
        <w:rPr>
          <w:rFonts w:ascii="Times New Roman" w:hAnsi="Times New Roman" w:cs="Times New Roman"/>
          <w:sz w:val="28"/>
          <w:szCs w:val="28"/>
        </w:rPr>
        <w:t xml:space="preserve"> – время неработоспособного состояния i-ой единицы основного технологического оборудования, рассчитанное в соответствии с пунктом </w:t>
      </w:r>
      <w:r>
        <w:rPr>
          <w:rFonts w:ascii="Times New Roman" w:hAnsi="Times New Roman" w:cs="Times New Roman"/>
          <w:sz w:val="28"/>
          <w:szCs w:val="28"/>
        </w:rPr>
        <w:br/>
        <w:t>29 Методических указаний.</w:t>
      </w:r>
    </w:p>
    <w:p w14:paraId="5EFB8C52" w14:textId="77777777" w:rsidR="005979D5" w:rsidRDefault="005979D5">
      <w:pPr>
        <w:pStyle w:val="ConsPlusNormal"/>
        <w:spacing w:line="360" w:lineRule="auto"/>
        <w:ind w:firstLine="567"/>
        <w:contextualSpacing/>
        <w:jc w:val="right"/>
        <w:rPr>
          <w:rFonts w:ascii="Times New Roman" w:hAnsi="Times New Roman" w:cs="Times New Roman"/>
          <w:b/>
          <w:sz w:val="28"/>
          <w:szCs w:val="28"/>
        </w:rPr>
        <w:sectPr w:rsidR="005979D5">
          <w:pgSz w:w="11906" w:h="16838"/>
          <w:pgMar w:top="1134" w:right="567" w:bottom="1134" w:left="1134" w:header="454" w:footer="427" w:gutter="0"/>
          <w:pgNumType w:start="1"/>
          <w:cols w:space="708"/>
          <w:titlePg/>
          <w:docGrid w:linePitch="360"/>
        </w:sectPr>
      </w:pPr>
    </w:p>
    <w:p w14:paraId="73431B33" w14:textId="77777777" w:rsidR="005979D5" w:rsidRDefault="005979D5">
      <w:pPr>
        <w:pStyle w:val="ConsPlusNormal"/>
        <w:spacing w:line="360" w:lineRule="auto"/>
        <w:ind w:firstLine="567"/>
        <w:contextualSpacing/>
        <w:jc w:val="right"/>
        <w:rPr>
          <w:rFonts w:ascii="Times New Roman" w:hAnsi="Times New Roman" w:cs="Times New Roman"/>
          <w:b/>
          <w:sz w:val="28"/>
          <w:szCs w:val="28"/>
        </w:rPr>
        <w:sectPr w:rsidR="005979D5">
          <w:type w:val="continuous"/>
          <w:pgSz w:w="11906" w:h="16838"/>
          <w:pgMar w:top="1134" w:right="567" w:bottom="1134" w:left="1134" w:header="709" w:footer="709" w:gutter="0"/>
          <w:cols w:space="708"/>
          <w:docGrid w:linePitch="360"/>
        </w:sectPr>
      </w:pPr>
    </w:p>
    <w:p w14:paraId="70776591"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2F805733"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к Методическим указаниям</w:t>
      </w:r>
    </w:p>
    <w:p w14:paraId="699E0C2D"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по расчету вероятности отказа</w:t>
      </w:r>
    </w:p>
    <w:p w14:paraId="6F461394"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функционального узла и единицы</w:t>
      </w:r>
    </w:p>
    <w:p w14:paraId="6E6A10EB"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основного технологического</w:t>
      </w:r>
    </w:p>
    <w:p w14:paraId="761806D2"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оборудования и оценки</w:t>
      </w:r>
    </w:p>
    <w:p w14:paraId="12CAA572"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последствий такого отказа,</w:t>
      </w:r>
    </w:p>
    <w:p w14:paraId="0339C356"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утвержденным приказом</w:t>
      </w:r>
    </w:p>
    <w:p w14:paraId="5A076134"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Минэнерго России</w:t>
      </w:r>
    </w:p>
    <w:p w14:paraId="6828F31D"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от «__» ______ 2025 г. № ___</w:t>
      </w:r>
    </w:p>
    <w:p w14:paraId="06038D9C" w14:textId="77777777" w:rsidR="005979D5" w:rsidRDefault="005979D5">
      <w:pPr>
        <w:pStyle w:val="ConsPlusNormal"/>
        <w:spacing w:line="360" w:lineRule="auto"/>
        <w:ind w:firstLine="567"/>
        <w:contextualSpacing/>
        <w:jc w:val="both"/>
        <w:rPr>
          <w:rFonts w:ascii="Times New Roman" w:hAnsi="Times New Roman" w:cs="Times New Roman"/>
          <w:sz w:val="28"/>
          <w:szCs w:val="28"/>
        </w:rPr>
      </w:pPr>
    </w:p>
    <w:p w14:paraId="515C46A1" w14:textId="77777777" w:rsidR="005979D5" w:rsidRDefault="002B4D7C">
      <w:pPr>
        <w:pStyle w:val="ConsPlusTitle"/>
        <w:contextualSpacing/>
        <w:jc w:val="center"/>
        <w:outlineLvl w:val="0"/>
        <w:rPr>
          <w:rFonts w:ascii="Times New Roman" w:hAnsi="Times New Roman" w:cs="Times New Roman"/>
          <w:b w:val="0"/>
          <w:bCs/>
          <w:sz w:val="28"/>
          <w:szCs w:val="28"/>
        </w:rPr>
      </w:pPr>
      <w:bookmarkStart w:id="3" w:name="Приложение1"/>
      <w:bookmarkEnd w:id="3"/>
      <w:r>
        <w:rPr>
          <w:rFonts w:ascii="Times New Roman" w:hAnsi="Times New Roman" w:cs="Times New Roman"/>
          <w:b w:val="0"/>
          <w:bCs/>
          <w:sz w:val="28"/>
          <w:szCs w:val="28"/>
        </w:rPr>
        <w:t>ВИДЫ</w:t>
      </w:r>
    </w:p>
    <w:p w14:paraId="5C0E67BA" w14:textId="77777777" w:rsidR="005979D5" w:rsidRDefault="002B4D7C">
      <w:pPr>
        <w:pStyle w:val="ConsPlusTitle"/>
        <w:contextualSpacing/>
        <w:jc w:val="center"/>
        <w:outlineLvl w:val="0"/>
        <w:rPr>
          <w:rFonts w:ascii="Times New Roman" w:hAnsi="Times New Roman" w:cs="Times New Roman"/>
          <w:sz w:val="28"/>
          <w:szCs w:val="28"/>
        </w:rPr>
      </w:pPr>
      <w:r>
        <w:rPr>
          <w:rFonts w:ascii="Times New Roman" w:hAnsi="Times New Roman" w:cs="Times New Roman"/>
          <w:b w:val="0"/>
          <w:bCs/>
          <w:sz w:val="28"/>
          <w:szCs w:val="28"/>
        </w:rPr>
        <w:t xml:space="preserve"> технического воздействия, учитываемого при оценке прогнозного изменения индекса технического состояния в качестве </w:t>
      </w:r>
      <w:r>
        <w:rPr>
          <w:rFonts w:ascii="Times New Roman" w:hAnsi="Times New Roman" w:cs="Times New Roman"/>
          <w:b w:val="0"/>
          <w:sz w:val="28"/>
          <w:szCs w:val="28"/>
        </w:rPr>
        <w:t>исходного значения индекса технического состояния функционального узла (сегмента для ЛЭП) (единицы основного технологического оборудования)</w:t>
      </w:r>
    </w:p>
    <w:tbl>
      <w:tblPr>
        <w:tblStyle w:val="TableGrid"/>
        <w:tblW w:w="9639" w:type="dxa"/>
        <w:tblInd w:w="-5" w:type="dxa"/>
        <w:tblLayout w:type="fixed"/>
        <w:tblCellMar>
          <w:left w:w="0" w:type="dxa"/>
          <w:right w:w="0" w:type="dxa"/>
        </w:tblCellMar>
        <w:tblLook w:val="04A0" w:firstRow="1" w:lastRow="0" w:firstColumn="1" w:lastColumn="0" w:noHBand="0" w:noVBand="1"/>
      </w:tblPr>
      <w:tblGrid>
        <w:gridCol w:w="710"/>
        <w:gridCol w:w="2127"/>
        <w:gridCol w:w="2409"/>
        <w:gridCol w:w="4393"/>
      </w:tblGrid>
      <w:tr w:rsidR="005979D5" w14:paraId="28FD775D" w14:textId="77777777">
        <w:trPr>
          <w:tblHeader/>
        </w:trPr>
        <w:tc>
          <w:tcPr>
            <w:tcW w:w="710" w:type="dxa"/>
            <w:vAlign w:val="center"/>
          </w:tcPr>
          <w:p w14:paraId="2FAE3139"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14:paraId="48A32BB4"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п/п</w:t>
            </w:r>
          </w:p>
        </w:tc>
        <w:tc>
          <w:tcPr>
            <w:tcW w:w="2127" w:type="dxa"/>
            <w:tcBorders>
              <w:bottom w:val="single" w:sz="4" w:space="0" w:color="auto"/>
            </w:tcBorders>
            <w:vAlign w:val="center"/>
          </w:tcPr>
          <w:p w14:paraId="36D0639F"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Вид технического воздействия</w:t>
            </w:r>
          </w:p>
        </w:tc>
        <w:tc>
          <w:tcPr>
            <w:tcW w:w="2409" w:type="dxa"/>
            <w:tcBorders>
              <w:bottom w:val="single" w:sz="4" w:space="0" w:color="auto"/>
            </w:tcBorders>
            <w:vAlign w:val="center"/>
          </w:tcPr>
          <w:p w14:paraId="738A8C52"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Вид оборудования</w:t>
            </w:r>
          </w:p>
        </w:tc>
        <w:tc>
          <w:tcPr>
            <w:tcW w:w="4393" w:type="dxa"/>
            <w:tcBorders>
              <w:bottom w:val="single" w:sz="4" w:space="0" w:color="auto"/>
            </w:tcBorders>
            <w:vAlign w:val="center"/>
          </w:tcPr>
          <w:p w14:paraId="25362385" w14:textId="77777777" w:rsidR="005979D5" w:rsidRDefault="002B4D7C">
            <w:pPr>
              <w:pStyle w:val="ConsPlusNormal"/>
              <w:ind w:firstLine="3"/>
              <w:contextualSpacing/>
              <w:jc w:val="center"/>
              <w:rPr>
                <w:rFonts w:ascii="Times New Roman" w:hAnsi="Times New Roman" w:cs="Times New Roman"/>
                <w:sz w:val="28"/>
                <w:szCs w:val="28"/>
              </w:rPr>
            </w:pPr>
            <w:r>
              <w:rPr>
                <w:rFonts w:ascii="Times New Roman" w:hAnsi="Times New Roman" w:cs="Times New Roman"/>
                <w:sz w:val="28"/>
                <w:szCs w:val="28"/>
              </w:rPr>
              <w:t>Функциональный узел</w:t>
            </w:r>
          </w:p>
        </w:tc>
      </w:tr>
      <w:tr w:rsidR="005979D5" w14:paraId="2510DEC5" w14:textId="77777777">
        <w:tc>
          <w:tcPr>
            <w:tcW w:w="710" w:type="dxa"/>
            <w:vAlign w:val="center"/>
          </w:tcPr>
          <w:p w14:paraId="1ED900A8"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127" w:type="dxa"/>
            <w:vMerge w:val="restart"/>
            <w:tcBorders>
              <w:right w:val="single" w:sz="4" w:space="0" w:color="auto"/>
            </w:tcBorders>
            <w:vAlign w:val="center"/>
          </w:tcPr>
          <w:p w14:paraId="05FAE6A8"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Техническое перевооружение, капитальный ремонт, средний ремонт</w:t>
            </w:r>
          </w:p>
        </w:tc>
        <w:tc>
          <w:tcPr>
            <w:tcW w:w="2409" w:type="dxa"/>
            <w:vMerge w:val="restart"/>
            <w:tcBorders>
              <w:right w:val="single" w:sz="4" w:space="0" w:color="auto"/>
            </w:tcBorders>
            <w:vAlign w:val="center"/>
          </w:tcPr>
          <w:p w14:paraId="056F624C"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Гидротурбина</w:t>
            </w:r>
          </w:p>
        </w:tc>
        <w:tc>
          <w:tcPr>
            <w:tcW w:w="4393" w:type="dxa"/>
            <w:vAlign w:val="center"/>
          </w:tcPr>
          <w:p w14:paraId="1D1AB7FB"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color w:val="000000"/>
                <w:sz w:val="28"/>
                <w:szCs w:val="28"/>
              </w:rPr>
              <w:t>Направляющий аппарат (НА)</w:t>
            </w:r>
          </w:p>
        </w:tc>
      </w:tr>
      <w:tr w:rsidR="005979D5" w14:paraId="77362179" w14:textId="77777777">
        <w:tc>
          <w:tcPr>
            <w:tcW w:w="710" w:type="dxa"/>
            <w:vAlign w:val="center"/>
          </w:tcPr>
          <w:p w14:paraId="133EE317"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2127" w:type="dxa"/>
            <w:vMerge/>
            <w:vAlign w:val="center"/>
          </w:tcPr>
          <w:p w14:paraId="6E9AB3AF" w14:textId="77777777" w:rsidR="005979D5" w:rsidRDefault="005979D5">
            <w:pPr>
              <w:spacing w:line="360" w:lineRule="auto"/>
              <w:ind w:firstLine="567"/>
              <w:contextualSpacing/>
              <w:rPr>
                <w:rFonts w:ascii="Times New Roman" w:hAnsi="Times New Roman" w:cs="Times New Roman"/>
                <w:color w:val="000000"/>
                <w:sz w:val="28"/>
                <w:szCs w:val="28"/>
              </w:rPr>
            </w:pPr>
          </w:p>
        </w:tc>
        <w:tc>
          <w:tcPr>
            <w:tcW w:w="2409" w:type="dxa"/>
            <w:vMerge/>
            <w:tcBorders>
              <w:right w:val="single" w:sz="4" w:space="0" w:color="auto"/>
            </w:tcBorders>
            <w:vAlign w:val="center"/>
          </w:tcPr>
          <w:p w14:paraId="3FEC219B" w14:textId="77777777" w:rsidR="005979D5" w:rsidRDefault="005979D5">
            <w:pPr>
              <w:pStyle w:val="ConsPlusNormal"/>
              <w:spacing w:line="360" w:lineRule="auto"/>
              <w:contextualSpacing/>
              <w:jc w:val="center"/>
              <w:rPr>
                <w:rFonts w:ascii="Times New Roman" w:hAnsi="Times New Roman" w:cs="Times New Roman"/>
                <w:sz w:val="28"/>
                <w:szCs w:val="28"/>
              </w:rPr>
            </w:pPr>
          </w:p>
        </w:tc>
        <w:tc>
          <w:tcPr>
            <w:tcW w:w="4393" w:type="dxa"/>
            <w:tcBorders>
              <w:left w:val="single" w:sz="4" w:space="0" w:color="auto"/>
            </w:tcBorders>
            <w:vAlign w:val="center"/>
          </w:tcPr>
          <w:p w14:paraId="60D219D6"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Крышка турбины </w:t>
            </w:r>
          </w:p>
        </w:tc>
      </w:tr>
      <w:tr w:rsidR="005979D5" w14:paraId="35FD60F8" w14:textId="77777777">
        <w:tc>
          <w:tcPr>
            <w:tcW w:w="710" w:type="dxa"/>
            <w:vAlign w:val="center"/>
          </w:tcPr>
          <w:p w14:paraId="72AF0D06"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1.1.1.</w:t>
            </w:r>
          </w:p>
        </w:tc>
        <w:tc>
          <w:tcPr>
            <w:tcW w:w="2127" w:type="dxa"/>
            <w:vMerge/>
            <w:vAlign w:val="center"/>
          </w:tcPr>
          <w:p w14:paraId="409398F0" w14:textId="77777777" w:rsidR="005979D5" w:rsidRDefault="005979D5">
            <w:pPr>
              <w:spacing w:line="360" w:lineRule="auto"/>
              <w:ind w:firstLine="567"/>
              <w:contextualSpacing/>
              <w:rPr>
                <w:rFonts w:ascii="Times New Roman" w:hAnsi="Times New Roman" w:cs="Times New Roman"/>
                <w:color w:val="000000"/>
                <w:sz w:val="28"/>
                <w:szCs w:val="28"/>
              </w:rPr>
            </w:pPr>
          </w:p>
        </w:tc>
        <w:tc>
          <w:tcPr>
            <w:tcW w:w="2409" w:type="dxa"/>
            <w:vMerge/>
            <w:tcBorders>
              <w:right w:val="single" w:sz="4" w:space="0" w:color="auto"/>
            </w:tcBorders>
            <w:vAlign w:val="center"/>
          </w:tcPr>
          <w:p w14:paraId="795F0F78"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tcBorders>
              <w:left w:val="single" w:sz="4" w:space="0" w:color="auto"/>
            </w:tcBorders>
            <w:vAlign w:val="center"/>
          </w:tcPr>
          <w:p w14:paraId="4EE15818"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Проточная часть</w:t>
            </w:r>
          </w:p>
        </w:tc>
      </w:tr>
      <w:tr w:rsidR="005979D5" w14:paraId="7C492B5D" w14:textId="77777777">
        <w:tc>
          <w:tcPr>
            <w:tcW w:w="710" w:type="dxa"/>
            <w:vAlign w:val="center"/>
          </w:tcPr>
          <w:p w14:paraId="547DD22D"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1.1.2.</w:t>
            </w:r>
          </w:p>
        </w:tc>
        <w:tc>
          <w:tcPr>
            <w:tcW w:w="2127" w:type="dxa"/>
            <w:vMerge/>
            <w:vAlign w:val="center"/>
          </w:tcPr>
          <w:p w14:paraId="79F4D825" w14:textId="77777777" w:rsidR="005979D5" w:rsidRDefault="005979D5">
            <w:pPr>
              <w:spacing w:line="360" w:lineRule="auto"/>
              <w:ind w:firstLine="567"/>
              <w:contextualSpacing/>
              <w:rPr>
                <w:rFonts w:ascii="Times New Roman" w:hAnsi="Times New Roman" w:cs="Times New Roman"/>
                <w:color w:val="000000"/>
                <w:sz w:val="28"/>
                <w:szCs w:val="28"/>
              </w:rPr>
            </w:pPr>
          </w:p>
        </w:tc>
        <w:tc>
          <w:tcPr>
            <w:tcW w:w="2409" w:type="dxa"/>
            <w:vMerge/>
            <w:tcBorders>
              <w:right w:val="single" w:sz="4" w:space="0" w:color="auto"/>
            </w:tcBorders>
            <w:vAlign w:val="center"/>
          </w:tcPr>
          <w:p w14:paraId="4114EE70"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tcBorders>
              <w:left w:val="single" w:sz="4" w:space="0" w:color="auto"/>
            </w:tcBorders>
            <w:vAlign w:val="center"/>
          </w:tcPr>
          <w:p w14:paraId="5B0C2736"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Рабочее колесо</w:t>
            </w:r>
          </w:p>
        </w:tc>
      </w:tr>
      <w:tr w:rsidR="005979D5" w14:paraId="75418BE7" w14:textId="77777777">
        <w:tc>
          <w:tcPr>
            <w:tcW w:w="710" w:type="dxa"/>
            <w:vAlign w:val="center"/>
          </w:tcPr>
          <w:p w14:paraId="1E118C71"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1.1.3.</w:t>
            </w:r>
          </w:p>
        </w:tc>
        <w:tc>
          <w:tcPr>
            <w:tcW w:w="2127" w:type="dxa"/>
            <w:vMerge/>
            <w:vAlign w:val="center"/>
          </w:tcPr>
          <w:p w14:paraId="2245960E" w14:textId="77777777" w:rsidR="005979D5" w:rsidRDefault="005979D5">
            <w:pPr>
              <w:spacing w:line="360" w:lineRule="auto"/>
              <w:ind w:firstLine="567"/>
              <w:contextualSpacing/>
              <w:rPr>
                <w:rFonts w:ascii="Times New Roman" w:hAnsi="Times New Roman" w:cs="Times New Roman"/>
                <w:color w:val="000000"/>
                <w:sz w:val="28"/>
                <w:szCs w:val="28"/>
              </w:rPr>
            </w:pPr>
          </w:p>
        </w:tc>
        <w:tc>
          <w:tcPr>
            <w:tcW w:w="2409" w:type="dxa"/>
            <w:vMerge/>
            <w:tcBorders>
              <w:bottom w:val="single" w:sz="4" w:space="0" w:color="auto"/>
              <w:right w:val="single" w:sz="4" w:space="0" w:color="auto"/>
            </w:tcBorders>
            <w:vAlign w:val="center"/>
          </w:tcPr>
          <w:p w14:paraId="629A6A1B"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tcBorders>
              <w:left w:val="single" w:sz="4" w:space="0" w:color="auto"/>
              <w:bottom w:val="single" w:sz="4" w:space="0" w:color="auto"/>
            </w:tcBorders>
            <w:vAlign w:val="center"/>
          </w:tcPr>
          <w:p w14:paraId="58E57189"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Турбинный подшипник и вал </w:t>
            </w:r>
          </w:p>
        </w:tc>
      </w:tr>
      <w:tr w:rsidR="005979D5" w14:paraId="47F4D5F0" w14:textId="77777777">
        <w:trPr>
          <w:trHeight w:val="322"/>
        </w:trPr>
        <w:tc>
          <w:tcPr>
            <w:tcW w:w="710" w:type="dxa"/>
            <w:vAlign w:val="center"/>
          </w:tcPr>
          <w:p w14:paraId="6EA115C6"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1.1.4.</w:t>
            </w:r>
          </w:p>
        </w:tc>
        <w:tc>
          <w:tcPr>
            <w:tcW w:w="2127" w:type="dxa"/>
            <w:vMerge/>
            <w:tcBorders>
              <w:right w:val="single" w:sz="4" w:space="0" w:color="auto"/>
            </w:tcBorders>
            <w:vAlign w:val="center"/>
          </w:tcPr>
          <w:p w14:paraId="34CD4CAF" w14:textId="77777777" w:rsidR="005979D5" w:rsidRDefault="005979D5">
            <w:pPr>
              <w:spacing w:line="360" w:lineRule="auto"/>
              <w:ind w:firstLine="567"/>
              <w:contextualSpacing/>
              <w:rPr>
                <w:rFonts w:ascii="Times New Roman" w:hAnsi="Times New Roman" w:cs="Times New Roman"/>
                <w:color w:val="000000"/>
                <w:sz w:val="28"/>
                <w:szCs w:val="28"/>
              </w:rPr>
            </w:pPr>
          </w:p>
        </w:tc>
        <w:tc>
          <w:tcPr>
            <w:tcW w:w="2409" w:type="dxa"/>
            <w:vMerge w:val="restart"/>
            <w:tcBorders>
              <w:top w:val="single" w:sz="4" w:space="0" w:color="auto"/>
              <w:left w:val="single" w:sz="4" w:space="0" w:color="auto"/>
            </w:tcBorders>
            <w:vAlign w:val="center"/>
          </w:tcPr>
          <w:p w14:paraId="4303A3E0"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Паровая турбина</w:t>
            </w:r>
          </w:p>
        </w:tc>
        <w:tc>
          <w:tcPr>
            <w:tcW w:w="4393" w:type="dxa"/>
            <w:vAlign w:val="center"/>
          </w:tcPr>
          <w:p w14:paraId="7DB29B18"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Арматура в пределах турбины</w:t>
            </w:r>
          </w:p>
        </w:tc>
      </w:tr>
      <w:tr w:rsidR="005979D5" w14:paraId="0A921851" w14:textId="77777777">
        <w:tc>
          <w:tcPr>
            <w:tcW w:w="710" w:type="dxa"/>
            <w:vAlign w:val="center"/>
          </w:tcPr>
          <w:p w14:paraId="16C03986"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1.1.5.</w:t>
            </w:r>
          </w:p>
        </w:tc>
        <w:tc>
          <w:tcPr>
            <w:tcW w:w="2127" w:type="dxa"/>
            <w:vMerge/>
            <w:tcBorders>
              <w:right w:val="single" w:sz="4" w:space="0" w:color="auto"/>
            </w:tcBorders>
            <w:vAlign w:val="center"/>
          </w:tcPr>
          <w:p w14:paraId="676B7B48"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tcBorders>
            <w:vAlign w:val="center"/>
          </w:tcPr>
          <w:p w14:paraId="21655C70"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48980203"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Корпус цилиндра</w:t>
            </w:r>
          </w:p>
        </w:tc>
      </w:tr>
      <w:tr w:rsidR="005979D5" w14:paraId="2413C9B6" w14:textId="77777777">
        <w:tc>
          <w:tcPr>
            <w:tcW w:w="710" w:type="dxa"/>
            <w:vAlign w:val="center"/>
          </w:tcPr>
          <w:p w14:paraId="21BB8C22"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2127" w:type="dxa"/>
            <w:vMerge/>
            <w:tcBorders>
              <w:right w:val="single" w:sz="4" w:space="0" w:color="auto"/>
            </w:tcBorders>
            <w:vAlign w:val="center"/>
          </w:tcPr>
          <w:p w14:paraId="32FBAA60"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tcBorders>
            <w:vAlign w:val="center"/>
          </w:tcPr>
          <w:p w14:paraId="7BC3FD49" w14:textId="77777777" w:rsidR="005979D5" w:rsidRDefault="005979D5">
            <w:pPr>
              <w:pStyle w:val="ConsPlusNormal"/>
              <w:spacing w:line="360" w:lineRule="auto"/>
              <w:contextualSpacing/>
              <w:jc w:val="center"/>
              <w:rPr>
                <w:rFonts w:ascii="Times New Roman" w:hAnsi="Times New Roman" w:cs="Times New Roman"/>
                <w:sz w:val="28"/>
                <w:szCs w:val="28"/>
              </w:rPr>
            </w:pPr>
          </w:p>
        </w:tc>
        <w:tc>
          <w:tcPr>
            <w:tcW w:w="4393" w:type="dxa"/>
            <w:vAlign w:val="center"/>
          </w:tcPr>
          <w:p w14:paraId="28D8E69C" w14:textId="77777777" w:rsidR="005979D5" w:rsidRDefault="002B4D7C">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Подшипник турбины </w:t>
            </w:r>
          </w:p>
        </w:tc>
      </w:tr>
      <w:tr w:rsidR="005979D5" w14:paraId="5D5AF8C9" w14:textId="77777777">
        <w:tc>
          <w:tcPr>
            <w:tcW w:w="710" w:type="dxa"/>
            <w:vAlign w:val="center"/>
          </w:tcPr>
          <w:p w14:paraId="262E1932"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1.2.1.</w:t>
            </w:r>
          </w:p>
        </w:tc>
        <w:tc>
          <w:tcPr>
            <w:tcW w:w="2127" w:type="dxa"/>
            <w:vMerge/>
            <w:tcBorders>
              <w:right w:val="single" w:sz="4" w:space="0" w:color="auto"/>
            </w:tcBorders>
            <w:vAlign w:val="center"/>
          </w:tcPr>
          <w:p w14:paraId="518950FB"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tcBorders>
            <w:vAlign w:val="center"/>
          </w:tcPr>
          <w:p w14:paraId="1BF48168"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0E152C8E"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Ротор турбины</w:t>
            </w:r>
          </w:p>
        </w:tc>
      </w:tr>
      <w:tr w:rsidR="005979D5" w14:paraId="161271AB" w14:textId="77777777">
        <w:tc>
          <w:tcPr>
            <w:tcW w:w="710" w:type="dxa"/>
            <w:vAlign w:val="center"/>
          </w:tcPr>
          <w:p w14:paraId="06070F84"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1.2.2.</w:t>
            </w:r>
          </w:p>
        </w:tc>
        <w:tc>
          <w:tcPr>
            <w:tcW w:w="2127" w:type="dxa"/>
            <w:vMerge/>
            <w:tcBorders>
              <w:right w:val="single" w:sz="4" w:space="0" w:color="auto"/>
            </w:tcBorders>
            <w:vAlign w:val="center"/>
          </w:tcPr>
          <w:p w14:paraId="57EADBEC"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tcBorders>
            <w:vAlign w:val="center"/>
          </w:tcPr>
          <w:p w14:paraId="6803C393"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7372CC3F"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Система парораспределения </w:t>
            </w:r>
          </w:p>
        </w:tc>
      </w:tr>
      <w:tr w:rsidR="005979D5" w14:paraId="2D3786C8" w14:textId="77777777">
        <w:tc>
          <w:tcPr>
            <w:tcW w:w="710" w:type="dxa"/>
            <w:vAlign w:val="center"/>
          </w:tcPr>
          <w:p w14:paraId="5C9F6C6F"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1.2.3.</w:t>
            </w:r>
          </w:p>
        </w:tc>
        <w:tc>
          <w:tcPr>
            <w:tcW w:w="2127" w:type="dxa"/>
            <w:vMerge/>
            <w:tcBorders>
              <w:right w:val="single" w:sz="4" w:space="0" w:color="auto"/>
            </w:tcBorders>
            <w:vAlign w:val="center"/>
          </w:tcPr>
          <w:p w14:paraId="6B0FCAD1"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bottom w:val="single" w:sz="4" w:space="0" w:color="auto"/>
            </w:tcBorders>
            <w:vAlign w:val="center"/>
          </w:tcPr>
          <w:p w14:paraId="57E4B4BA"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tcBorders>
              <w:bottom w:val="single" w:sz="4" w:space="0" w:color="auto"/>
            </w:tcBorders>
            <w:vAlign w:val="center"/>
          </w:tcPr>
          <w:p w14:paraId="7BF626B2"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Трубопроводы в пределах турбины</w:t>
            </w:r>
          </w:p>
        </w:tc>
      </w:tr>
      <w:tr w:rsidR="005979D5" w14:paraId="5D9CF963" w14:textId="77777777">
        <w:trPr>
          <w:trHeight w:val="322"/>
        </w:trPr>
        <w:tc>
          <w:tcPr>
            <w:tcW w:w="710" w:type="dxa"/>
            <w:vAlign w:val="center"/>
          </w:tcPr>
          <w:p w14:paraId="463A73E8"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1.2.4.</w:t>
            </w:r>
          </w:p>
        </w:tc>
        <w:tc>
          <w:tcPr>
            <w:tcW w:w="2127" w:type="dxa"/>
            <w:vMerge/>
            <w:tcBorders>
              <w:right w:val="single" w:sz="4" w:space="0" w:color="auto"/>
            </w:tcBorders>
            <w:vAlign w:val="center"/>
          </w:tcPr>
          <w:p w14:paraId="4B7D6F89"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restart"/>
            <w:tcBorders>
              <w:top w:val="single" w:sz="4" w:space="0" w:color="auto"/>
              <w:left w:val="single" w:sz="4" w:space="0" w:color="auto"/>
            </w:tcBorders>
            <w:vAlign w:val="center"/>
          </w:tcPr>
          <w:p w14:paraId="262CB5F6"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Паровой котел</w:t>
            </w:r>
          </w:p>
        </w:tc>
        <w:tc>
          <w:tcPr>
            <w:tcW w:w="4393" w:type="dxa"/>
            <w:vAlign w:val="center"/>
          </w:tcPr>
          <w:p w14:paraId="1C4D5405"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Барабан</w:t>
            </w:r>
          </w:p>
        </w:tc>
      </w:tr>
      <w:tr w:rsidR="005979D5" w14:paraId="58714AE4" w14:textId="77777777">
        <w:tc>
          <w:tcPr>
            <w:tcW w:w="710" w:type="dxa"/>
            <w:vAlign w:val="center"/>
          </w:tcPr>
          <w:p w14:paraId="6A18464B"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1.2.5.</w:t>
            </w:r>
          </w:p>
        </w:tc>
        <w:tc>
          <w:tcPr>
            <w:tcW w:w="2127" w:type="dxa"/>
            <w:vMerge/>
            <w:tcBorders>
              <w:right w:val="single" w:sz="4" w:space="0" w:color="auto"/>
            </w:tcBorders>
            <w:vAlign w:val="center"/>
          </w:tcPr>
          <w:p w14:paraId="404DAAB3"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tcBorders>
            <w:vAlign w:val="center"/>
          </w:tcPr>
          <w:p w14:paraId="7E9A6DBD"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0570EE44"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Поверхности нагрева котла</w:t>
            </w:r>
          </w:p>
        </w:tc>
      </w:tr>
      <w:tr w:rsidR="005979D5" w14:paraId="444CE8C0" w14:textId="77777777">
        <w:tc>
          <w:tcPr>
            <w:tcW w:w="710" w:type="dxa"/>
            <w:vAlign w:val="center"/>
          </w:tcPr>
          <w:p w14:paraId="0D5302C5"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1.2.6.</w:t>
            </w:r>
          </w:p>
        </w:tc>
        <w:tc>
          <w:tcPr>
            <w:tcW w:w="2127" w:type="dxa"/>
            <w:vMerge/>
            <w:tcBorders>
              <w:right w:val="single" w:sz="4" w:space="0" w:color="auto"/>
            </w:tcBorders>
            <w:vAlign w:val="center"/>
          </w:tcPr>
          <w:p w14:paraId="449DEF4C"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bottom w:val="single" w:sz="4" w:space="0" w:color="auto"/>
            </w:tcBorders>
            <w:vAlign w:val="center"/>
          </w:tcPr>
          <w:p w14:paraId="79F20522"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tcBorders>
              <w:bottom w:val="single" w:sz="4" w:space="0" w:color="auto"/>
            </w:tcBorders>
            <w:vAlign w:val="center"/>
          </w:tcPr>
          <w:p w14:paraId="54BBD0FA"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Трубопроводы и коллекторы</w:t>
            </w:r>
          </w:p>
        </w:tc>
      </w:tr>
      <w:tr w:rsidR="005979D5" w14:paraId="3486475C" w14:textId="77777777">
        <w:trPr>
          <w:trHeight w:val="322"/>
        </w:trPr>
        <w:tc>
          <w:tcPr>
            <w:tcW w:w="710" w:type="dxa"/>
            <w:vAlign w:val="center"/>
          </w:tcPr>
          <w:p w14:paraId="5589F719"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2127" w:type="dxa"/>
            <w:vMerge/>
            <w:tcBorders>
              <w:right w:val="single" w:sz="4" w:space="0" w:color="auto"/>
            </w:tcBorders>
            <w:vAlign w:val="center"/>
          </w:tcPr>
          <w:p w14:paraId="28D962C2"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restart"/>
            <w:tcBorders>
              <w:top w:val="single" w:sz="4" w:space="0" w:color="auto"/>
              <w:left w:val="single" w:sz="4" w:space="0" w:color="auto"/>
            </w:tcBorders>
            <w:vAlign w:val="center"/>
          </w:tcPr>
          <w:p w14:paraId="36AE7CCD"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Гидрогенератор</w:t>
            </w:r>
          </w:p>
        </w:tc>
        <w:tc>
          <w:tcPr>
            <w:tcW w:w="4393" w:type="dxa"/>
            <w:vAlign w:val="center"/>
          </w:tcPr>
          <w:p w14:paraId="5EF69385"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Обмотка ротора</w:t>
            </w:r>
          </w:p>
        </w:tc>
      </w:tr>
      <w:tr w:rsidR="005979D5" w14:paraId="166D67D2" w14:textId="77777777">
        <w:tc>
          <w:tcPr>
            <w:tcW w:w="710" w:type="dxa"/>
            <w:vAlign w:val="center"/>
          </w:tcPr>
          <w:p w14:paraId="1E6C596F"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1.3.1.</w:t>
            </w:r>
          </w:p>
        </w:tc>
        <w:tc>
          <w:tcPr>
            <w:tcW w:w="2127" w:type="dxa"/>
            <w:vMerge/>
            <w:tcBorders>
              <w:right w:val="single" w:sz="4" w:space="0" w:color="auto"/>
            </w:tcBorders>
            <w:vAlign w:val="center"/>
          </w:tcPr>
          <w:p w14:paraId="3DAFB5F7"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tcBorders>
            <w:vAlign w:val="center"/>
          </w:tcPr>
          <w:p w14:paraId="18E498E1"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14C9A28B"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Обмотка статора </w:t>
            </w:r>
          </w:p>
        </w:tc>
      </w:tr>
      <w:tr w:rsidR="005979D5" w14:paraId="423F511E" w14:textId="77777777">
        <w:tc>
          <w:tcPr>
            <w:tcW w:w="710" w:type="dxa"/>
            <w:vAlign w:val="center"/>
          </w:tcPr>
          <w:p w14:paraId="7E34950A"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1.3.2.</w:t>
            </w:r>
          </w:p>
        </w:tc>
        <w:tc>
          <w:tcPr>
            <w:tcW w:w="2127" w:type="dxa"/>
            <w:vMerge/>
            <w:tcBorders>
              <w:right w:val="single" w:sz="4" w:space="0" w:color="auto"/>
            </w:tcBorders>
            <w:vAlign w:val="center"/>
          </w:tcPr>
          <w:p w14:paraId="424691DA"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tcBorders>
            <w:vAlign w:val="center"/>
          </w:tcPr>
          <w:p w14:paraId="28561D5B"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0AB0F8A4"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Подпятник и генераторный подшипник </w:t>
            </w:r>
          </w:p>
        </w:tc>
      </w:tr>
      <w:tr w:rsidR="005979D5" w14:paraId="4B0CA05E" w14:textId="77777777">
        <w:tc>
          <w:tcPr>
            <w:tcW w:w="710" w:type="dxa"/>
            <w:vAlign w:val="center"/>
          </w:tcPr>
          <w:p w14:paraId="1217C5D1"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1.3.3.</w:t>
            </w:r>
          </w:p>
        </w:tc>
        <w:tc>
          <w:tcPr>
            <w:tcW w:w="2127" w:type="dxa"/>
            <w:vMerge/>
            <w:tcBorders>
              <w:right w:val="single" w:sz="4" w:space="0" w:color="auto"/>
            </w:tcBorders>
            <w:vAlign w:val="center"/>
          </w:tcPr>
          <w:p w14:paraId="350C9534"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bottom w:val="none" w:sz="4" w:space="0" w:color="000000"/>
            </w:tcBorders>
            <w:vAlign w:val="center"/>
          </w:tcPr>
          <w:p w14:paraId="3EC4C129"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tcBorders>
              <w:bottom w:val="single" w:sz="4" w:space="0" w:color="auto"/>
            </w:tcBorders>
            <w:vAlign w:val="center"/>
          </w:tcPr>
          <w:p w14:paraId="1D33107F"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Сталь ротора</w:t>
            </w:r>
          </w:p>
        </w:tc>
      </w:tr>
      <w:tr w:rsidR="005979D5" w14:paraId="26DCE670" w14:textId="77777777">
        <w:tc>
          <w:tcPr>
            <w:tcW w:w="710" w:type="dxa"/>
            <w:vAlign w:val="center"/>
          </w:tcPr>
          <w:p w14:paraId="3E7113E2"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2127" w:type="dxa"/>
            <w:vMerge/>
            <w:tcBorders>
              <w:right w:val="single" w:sz="4" w:space="0" w:color="auto"/>
            </w:tcBorders>
            <w:vAlign w:val="center"/>
          </w:tcPr>
          <w:p w14:paraId="1314A7DC"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tcBorders>
              <w:top w:val="none" w:sz="4" w:space="0" w:color="000000"/>
              <w:left w:val="single" w:sz="4" w:space="0" w:color="auto"/>
              <w:bottom w:val="single" w:sz="4" w:space="0" w:color="auto"/>
            </w:tcBorders>
            <w:vAlign w:val="center"/>
          </w:tcPr>
          <w:p w14:paraId="1A7865D6" w14:textId="77777777" w:rsidR="005979D5" w:rsidRDefault="005979D5">
            <w:pPr>
              <w:pStyle w:val="ConsPlusNormal"/>
              <w:spacing w:line="360" w:lineRule="auto"/>
              <w:contextualSpacing/>
              <w:jc w:val="center"/>
              <w:rPr>
                <w:rFonts w:ascii="Times New Roman" w:hAnsi="Times New Roman" w:cs="Times New Roman"/>
                <w:sz w:val="28"/>
                <w:szCs w:val="28"/>
              </w:rPr>
            </w:pPr>
          </w:p>
        </w:tc>
        <w:tc>
          <w:tcPr>
            <w:tcW w:w="4393" w:type="dxa"/>
            <w:tcBorders>
              <w:left w:val="single" w:sz="4" w:space="0" w:color="auto"/>
              <w:bottom w:val="single" w:sz="4" w:space="0" w:color="auto"/>
            </w:tcBorders>
            <w:vAlign w:val="center"/>
          </w:tcPr>
          <w:p w14:paraId="17E77E17"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Сталь статора</w:t>
            </w:r>
          </w:p>
        </w:tc>
      </w:tr>
      <w:tr w:rsidR="005979D5" w14:paraId="1815E3EF" w14:textId="77777777">
        <w:trPr>
          <w:trHeight w:val="322"/>
        </w:trPr>
        <w:tc>
          <w:tcPr>
            <w:tcW w:w="710" w:type="dxa"/>
            <w:vAlign w:val="center"/>
          </w:tcPr>
          <w:p w14:paraId="0381255E"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1.4.1.</w:t>
            </w:r>
          </w:p>
        </w:tc>
        <w:tc>
          <w:tcPr>
            <w:tcW w:w="2127" w:type="dxa"/>
            <w:vMerge/>
            <w:tcBorders>
              <w:right w:val="single" w:sz="4" w:space="0" w:color="auto"/>
            </w:tcBorders>
            <w:vAlign w:val="center"/>
          </w:tcPr>
          <w:p w14:paraId="0C832FFD"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restart"/>
            <w:tcBorders>
              <w:top w:val="single" w:sz="4" w:space="0" w:color="auto"/>
              <w:left w:val="single" w:sz="4" w:space="0" w:color="auto"/>
            </w:tcBorders>
            <w:vAlign w:val="center"/>
          </w:tcPr>
          <w:p w14:paraId="1FD4B02A"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color w:val="000000"/>
                <w:sz w:val="28"/>
                <w:szCs w:val="28"/>
              </w:rPr>
              <w:t>Турбогенератор</w:t>
            </w:r>
          </w:p>
        </w:tc>
        <w:tc>
          <w:tcPr>
            <w:tcW w:w="4393" w:type="dxa"/>
            <w:vAlign w:val="center"/>
          </w:tcPr>
          <w:p w14:paraId="3D76F806"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Обмотка ротора</w:t>
            </w:r>
          </w:p>
        </w:tc>
      </w:tr>
      <w:tr w:rsidR="005979D5" w14:paraId="44222BC2" w14:textId="77777777">
        <w:tc>
          <w:tcPr>
            <w:tcW w:w="710" w:type="dxa"/>
            <w:vAlign w:val="center"/>
          </w:tcPr>
          <w:p w14:paraId="1AD614EE"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1.4.2.</w:t>
            </w:r>
          </w:p>
        </w:tc>
        <w:tc>
          <w:tcPr>
            <w:tcW w:w="2127" w:type="dxa"/>
            <w:vMerge/>
            <w:tcBorders>
              <w:right w:val="single" w:sz="4" w:space="0" w:color="auto"/>
            </w:tcBorders>
            <w:vAlign w:val="center"/>
          </w:tcPr>
          <w:p w14:paraId="21ED9E6B"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tcBorders>
            <w:vAlign w:val="center"/>
          </w:tcPr>
          <w:p w14:paraId="33E32BF0"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2D197174"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Обмотка статора</w:t>
            </w:r>
          </w:p>
        </w:tc>
      </w:tr>
      <w:tr w:rsidR="005979D5" w14:paraId="16CB35A1" w14:textId="77777777">
        <w:tc>
          <w:tcPr>
            <w:tcW w:w="710" w:type="dxa"/>
            <w:vAlign w:val="center"/>
          </w:tcPr>
          <w:p w14:paraId="6DF5894A"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1.4.3.</w:t>
            </w:r>
          </w:p>
        </w:tc>
        <w:tc>
          <w:tcPr>
            <w:tcW w:w="2127" w:type="dxa"/>
            <w:vMerge/>
            <w:tcBorders>
              <w:right w:val="single" w:sz="4" w:space="0" w:color="auto"/>
            </w:tcBorders>
            <w:vAlign w:val="center"/>
          </w:tcPr>
          <w:p w14:paraId="7FA0D796"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tcBorders>
            <w:vAlign w:val="center"/>
          </w:tcPr>
          <w:p w14:paraId="587B917F"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1789A6A8"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Сталь ротора </w:t>
            </w:r>
          </w:p>
        </w:tc>
      </w:tr>
      <w:tr w:rsidR="005979D5" w14:paraId="29EC4F78" w14:textId="77777777">
        <w:tc>
          <w:tcPr>
            <w:tcW w:w="710" w:type="dxa"/>
            <w:vAlign w:val="center"/>
          </w:tcPr>
          <w:p w14:paraId="0CD5169E"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1.4.4.</w:t>
            </w:r>
          </w:p>
        </w:tc>
        <w:tc>
          <w:tcPr>
            <w:tcW w:w="2127" w:type="dxa"/>
            <w:vMerge/>
            <w:tcBorders>
              <w:right w:val="single" w:sz="4" w:space="0" w:color="auto"/>
            </w:tcBorders>
            <w:vAlign w:val="center"/>
          </w:tcPr>
          <w:p w14:paraId="65D1568E"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left w:val="single" w:sz="4" w:space="0" w:color="auto"/>
              <w:bottom w:val="single" w:sz="4" w:space="0" w:color="auto"/>
            </w:tcBorders>
            <w:vAlign w:val="center"/>
          </w:tcPr>
          <w:p w14:paraId="2AF27767"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tcBorders>
              <w:bottom w:val="single" w:sz="4" w:space="0" w:color="auto"/>
            </w:tcBorders>
            <w:vAlign w:val="center"/>
          </w:tcPr>
          <w:p w14:paraId="32DB80E3"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Сталь статора</w:t>
            </w:r>
          </w:p>
        </w:tc>
      </w:tr>
      <w:tr w:rsidR="005979D5" w14:paraId="2A5CCBBE" w14:textId="77777777">
        <w:trPr>
          <w:trHeight w:val="322"/>
        </w:trPr>
        <w:tc>
          <w:tcPr>
            <w:tcW w:w="710" w:type="dxa"/>
            <w:vAlign w:val="center"/>
          </w:tcPr>
          <w:p w14:paraId="69B1819D"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1.4.5.</w:t>
            </w:r>
          </w:p>
        </w:tc>
        <w:tc>
          <w:tcPr>
            <w:tcW w:w="2127" w:type="dxa"/>
            <w:vMerge/>
            <w:tcBorders>
              <w:right w:val="single" w:sz="4" w:space="0" w:color="auto"/>
            </w:tcBorders>
            <w:vAlign w:val="center"/>
          </w:tcPr>
          <w:p w14:paraId="59C647C3"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restart"/>
            <w:tcBorders>
              <w:top w:val="single" w:sz="4" w:space="0" w:color="auto"/>
              <w:right w:val="single" w:sz="4" w:space="0" w:color="auto"/>
            </w:tcBorders>
            <w:vAlign w:val="center"/>
          </w:tcPr>
          <w:p w14:paraId="26BBFAFA"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Трансформатор силовой</w:t>
            </w:r>
          </w:p>
        </w:tc>
        <w:tc>
          <w:tcPr>
            <w:tcW w:w="4393" w:type="dxa"/>
            <w:vAlign w:val="center"/>
          </w:tcPr>
          <w:p w14:paraId="14981B52"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Магнитопровод</w:t>
            </w:r>
          </w:p>
        </w:tc>
      </w:tr>
      <w:tr w:rsidR="005979D5" w14:paraId="5AB32B9D" w14:textId="77777777">
        <w:trPr>
          <w:trHeight w:val="206"/>
        </w:trPr>
        <w:tc>
          <w:tcPr>
            <w:tcW w:w="710" w:type="dxa"/>
            <w:vAlign w:val="center"/>
          </w:tcPr>
          <w:p w14:paraId="4500FF48"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2127" w:type="dxa"/>
            <w:vMerge/>
            <w:vAlign w:val="center"/>
          </w:tcPr>
          <w:p w14:paraId="524E3D07"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bottom w:val="single" w:sz="4" w:space="0" w:color="auto"/>
              <w:right w:val="single" w:sz="4" w:space="0" w:color="auto"/>
            </w:tcBorders>
            <w:vAlign w:val="center"/>
          </w:tcPr>
          <w:p w14:paraId="1E882783" w14:textId="77777777" w:rsidR="005979D5" w:rsidRDefault="005979D5">
            <w:pPr>
              <w:spacing w:line="360" w:lineRule="auto"/>
              <w:contextualSpacing/>
              <w:jc w:val="center"/>
              <w:rPr>
                <w:rFonts w:ascii="Times New Roman" w:hAnsi="Times New Roman" w:cs="Times New Roman"/>
                <w:color w:val="000000"/>
                <w:sz w:val="28"/>
                <w:szCs w:val="28"/>
              </w:rPr>
            </w:pPr>
          </w:p>
        </w:tc>
        <w:tc>
          <w:tcPr>
            <w:tcW w:w="4393" w:type="dxa"/>
            <w:tcBorders>
              <w:left w:val="single" w:sz="4" w:space="0" w:color="auto"/>
              <w:bottom w:val="single" w:sz="4" w:space="0" w:color="auto"/>
            </w:tcBorders>
            <w:vAlign w:val="center"/>
          </w:tcPr>
          <w:p w14:paraId="68608AA1"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Обмотки трансформатора</w:t>
            </w:r>
          </w:p>
        </w:tc>
      </w:tr>
      <w:tr w:rsidR="005979D5" w14:paraId="24902FC3" w14:textId="77777777">
        <w:tc>
          <w:tcPr>
            <w:tcW w:w="710" w:type="dxa"/>
            <w:vAlign w:val="center"/>
          </w:tcPr>
          <w:p w14:paraId="269CF9CF"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1.5.1.</w:t>
            </w:r>
          </w:p>
        </w:tc>
        <w:tc>
          <w:tcPr>
            <w:tcW w:w="2127" w:type="dxa"/>
            <w:vMerge/>
            <w:tcBorders>
              <w:bottom w:val="none" w:sz="4" w:space="0" w:color="000000"/>
              <w:right w:val="single" w:sz="4" w:space="0" w:color="auto"/>
            </w:tcBorders>
            <w:vAlign w:val="center"/>
          </w:tcPr>
          <w:p w14:paraId="6F283085"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tcBorders>
              <w:top w:val="single" w:sz="4" w:space="0" w:color="auto"/>
              <w:left w:val="single" w:sz="4" w:space="0" w:color="auto"/>
              <w:bottom w:val="none" w:sz="4" w:space="0" w:color="000000"/>
            </w:tcBorders>
            <w:vAlign w:val="center"/>
          </w:tcPr>
          <w:p w14:paraId="73DA529A" w14:textId="77777777" w:rsidR="005979D5" w:rsidRDefault="002B4D7C">
            <w:pPr>
              <w:spacing w:line="360" w:lineRule="auto"/>
              <w:contextualSpacing/>
              <w:jc w:val="center"/>
              <w:rPr>
                <w:rFonts w:ascii="Times New Roman" w:hAnsi="Times New Roman" w:cs="Times New Roman"/>
                <w:color w:val="000000"/>
                <w:sz w:val="28"/>
                <w:szCs w:val="28"/>
              </w:rPr>
            </w:pPr>
            <w:r>
              <w:rPr>
                <w:rFonts w:ascii="Times New Roman" w:hAnsi="Times New Roman" w:cs="Times New Roman"/>
                <w:sz w:val="28"/>
                <w:szCs w:val="28"/>
              </w:rPr>
              <w:t>Линия электропередачи</w:t>
            </w:r>
          </w:p>
        </w:tc>
        <w:tc>
          <w:tcPr>
            <w:tcW w:w="4393" w:type="dxa"/>
            <w:tcBorders>
              <w:bottom w:val="single" w:sz="4" w:space="0" w:color="auto"/>
            </w:tcBorders>
            <w:vAlign w:val="center"/>
          </w:tcPr>
          <w:p w14:paraId="199FDA8E"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Сегмент (воздушной линии (ВЛ), кабельной линии (КЛ)</w:t>
            </w:r>
          </w:p>
        </w:tc>
      </w:tr>
      <w:tr w:rsidR="005979D5" w14:paraId="772ED572" w14:textId="77777777">
        <w:tc>
          <w:tcPr>
            <w:tcW w:w="710" w:type="dxa"/>
            <w:vAlign w:val="center"/>
          </w:tcPr>
          <w:p w14:paraId="4A850BD4"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1.5.4.</w:t>
            </w:r>
          </w:p>
        </w:tc>
        <w:tc>
          <w:tcPr>
            <w:tcW w:w="2127" w:type="dxa"/>
            <w:vMerge w:val="restart"/>
            <w:tcBorders>
              <w:right w:val="none" w:sz="4" w:space="0" w:color="000000"/>
            </w:tcBorders>
            <w:vAlign w:val="center"/>
          </w:tcPr>
          <w:p w14:paraId="6D23A27F" w14:textId="77777777" w:rsidR="005979D5" w:rsidRDefault="002B4D7C">
            <w:pPr>
              <w:pStyle w:val="ConsPlusNormal"/>
              <w:ind w:firstLine="4"/>
              <w:contextualSpacing/>
              <w:jc w:val="center"/>
              <w:rPr>
                <w:rFonts w:ascii="Times New Roman" w:hAnsi="Times New Roman" w:cs="Times New Roman"/>
                <w:sz w:val="28"/>
                <w:szCs w:val="28"/>
              </w:rPr>
            </w:pPr>
            <w:r>
              <w:rPr>
                <w:rFonts w:ascii="Times New Roman" w:hAnsi="Times New Roman" w:cs="Times New Roman"/>
                <w:sz w:val="28"/>
                <w:szCs w:val="28"/>
              </w:rPr>
              <w:t>Текущий ремонт, техническое перевооружение, капитальный ремонт, средний ремонт</w:t>
            </w:r>
          </w:p>
        </w:tc>
        <w:tc>
          <w:tcPr>
            <w:tcW w:w="2409" w:type="dxa"/>
            <w:tcBorders>
              <w:bottom w:val="single" w:sz="4" w:space="0" w:color="auto"/>
              <w:right w:val="none" w:sz="4" w:space="0" w:color="000000"/>
            </w:tcBorders>
            <w:vAlign w:val="center"/>
          </w:tcPr>
          <w:p w14:paraId="0B1DE437" w14:textId="77777777" w:rsidR="005979D5" w:rsidRDefault="002B4D7C">
            <w:pPr>
              <w:spacing w:line="360" w:lineRule="auto"/>
              <w:contextualSpacing/>
              <w:jc w:val="center"/>
              <w:rPr>
                <w:rFonts w:ascii="Times New Roman" w:hAnsi="Times New Roman" w:cs="Times New Roman"/>
                <w:color w:val="000000"/>
                <w:sz w:val="28"/>
                <w:szCs w:val="28"/>
              </w:rPr>
            </w:pPr>
            <w:r>
              <w:rPr>
                <w:rFonts w:ascii="Times New Roman" w:hAnsi="Times New Roman" w:cs="Times New Roman"/>
                <w:sz w:val="28"/>
                <w:szCs w:val="28"/>
              </w:rPr>
              <w:t>Гидротурбина</w:t>
            </w:r>
          </w:p>
        </w:tc>
        <w:tc>
          <w:tcPr>
            <w:tcW w:w="4393" w:type="dxa"/>
            <w:tcBorders>
              <w:bottom w:val="single" w:sz="4" w:space="0" w:color="auto"/>
            </w:tcBorders>
            <w:vAlign w:val="center"/>
          </w:tcPr>
          <w:p w14:paraId="14C8D20C"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Система автоматического управления</w:t>
            </w:r>
          </w:p>
        </w:tc>
      </w:tr>
      <w:tr w:rsidR="005979D5" w14:paraId="6E90CAD2" w14:textId="77777777">
        <w:trPr>
          <w:trHeight w:val="322"/>
        </w:trPr>
        <w:tc>
          <w:tcPr>
            <w:tcW w:w="710" w:type="dxa"/>
            <w:vAlign w:val="center"/>
          </w:tcPr>
          <w:p w14:paraId="5ABF745E"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1.6.</w:t>
            </w:r>
          </w:p>
        </w:tc>
        <w:tc>
          <w:tcPr>
            <w:tcW w:w="2127" w:type="dxa"/>
            <w:vMerge/>
            <w:vAlign w:val="center"/>
          </w:tcPr>
          <w:p w14:paraId="7DE02106"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restart"/>
            <w:tcBorders>
              <w:top w:val="single" w:sz="4" w:space="0" w:color="auto"/>
            </w:tcBorders>
            <w:vAlign w:val="center"/>
          </w:tcPr>
          <w:p w14:paraId="1A5FCC15" w14:textId="77777777" w:rsidR="005979D5" w:rsidRDefault="002B4D7C">
            <w:pPr>
              <w:spacing w:line="360" w:lineRule="auto"/>
              <w:contextualSpacing/>
              <w:jc w:val="center"/>
              <w:rPr>
                <w:rFonts w:ascii="Times New Roman" w:hAnsi="Times New Roman" w:cs="Times New Roman"/>
                <w:color w:val="000000"/>
                <w:sz w:val="28"/>
                <w:szCs w:val="28"/>
              </w:rPr>
            </w:pPr>
            <w:r>
              <w:rPr>
                <w:rFonts w:ascii="Times New Roman" w:hAnsi="Times New Roman" w:cs="Times New Roman"/>
                <w:sz w:val="28"/>
                <w:szCs w:val="28"/>
              </w:rPr>
              <w:t>Газовая турбина</w:t>
            </w:r>
          </w:p>
        </w:tc>
        <w:tc>
          <w:tcPr>
            <w:tcW w:w="4393" w:type="dxa"/>
            <w:vAlign w:val="center"/>
          </w:tcPr>
          <w:p w14:paraId="6825007E"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Компрессор</w:t>
            </w:r>
          </w:p>
        </w:tc>
      </w:tr>
      <w:tr w:rsidR="005979D5" w14:paraId="513A4F90" w14:textId="77777777">
        <w:tc>
          <w:tcPr>
            <w:tcW w:w="710" w:type="dxa"/>
            <w:vAlign w:val="center"/>
          </w:tcPr>
          <w:p w14:paraId="43C1CD74"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1.6.1.</w:t>
            </w:r>
          </w:p>
        </w:tc>
        <w:tc>
          <w:tcPr>
            <w:tcW w:w="2127" w:type="dxa"/>
            <w:vMerge/>
            <w:vAlign w:val="center"/>
          </w:tcPr>
          <w:p w14:paraId="7CF3BC05"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ign w:val="center"/>
          </w:tcPr>
          <w:p w14:paraId="2D8106B3" w14:textId="77777777" w:rsidR="005979D5" w:rsidRDefault="005979D5">
            <w:pPr>
              <w:spacing w:line="360" w:lineRule="auto"/>
              <w:ind w:firstLine="567"/>
              <w:contextualSpacing/>
              <w:jc w:val="center"/>
              <w:rPr>
                <w:rFonts w:ascii="Times New Roman" w:hAnsi="Times New Roman" w:cs="Times New Roman"/>
                <w:color w:val="000000"/>
                <w:sz w:val="28"/>
                <w:szCs w:val="28"/>
              </w:rPr>
            </w:pPr>
          </w:p>
        </w:tc>
        <w:tc>
          <w:tcPr>
            <w:tcW w:w="4393" w:type="dxa"/>
            <w:vAlign w:val="center"/>
          </w:tcPr>
          <w:p w14:paraId="49EAD6AC"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Турбина</w:t>
            </w:r>
          </w:p>
        </w:tc>
      </w:tr>
      <w:tr w:rsidR="005979D5" w14:paraId="6662BF46" w14:textId="77777777">
        <w:tc>
          <w:tcPr>
            <w:tcW w:w="710" w:type="dxa"/>
            <w:tcBorders>
              <w:bottom w:val="single" w:sz="4" w:space="0" w:color="auto"/>
            </w:tcBorders>
            <w:vAlign w:val="center"/>
          </w:tcPr>
          <w:p w14:paraId="450B214D"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1.6.2.</w:t>
            </w:r>
          </w:p>
        </w:tc>
        <w:tc>
          <w:tcPr>
            <w:tcW w:w="2127" w:type="dxa"/>
            <w:vMerge/>
            <w:vAlign w:val="center"/>
          </w:tcPr>
          <w:p w14:paraId="57096694"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bottom w:val="single" w:sz="4" w:space="0" w:color="auto"/>
            </w:tcBorders>
            <w:vAlign w:val="center"/>
          </w:tcPr>
          <w:p w14:paraId="1EB13347" w14:textId="77777777" w:rsidR="005979D5" w:rsidRDefault="005979D5">
            <w:pPr>
              <w:pStyle w:val="ConsPlusNormal"/>
              <w:spacing w:line="360" w:lineRule="auto"/>
              <w:contextualSpacing/>
              <w:jc w:val="center"/>
              <w:rPr>
                <w:rFonts w:ascii="Times New Roman" w:hAnsi="Times New Roman" w:cs="Times New Roman"/>
                <w:sz w:val="28"/>
                <w:szCs w:val="28"/>
              </w:rPr>
            </w:pPr>
          </w:p>
        </w:tc>
        <w:tc>
          <w:tcPr>
            <w:tcW w:w="4393" w:type="dxa"/>
            <w:tcBorders>
              <w:bottom w:val="single" w:sz="4" w:space="0" w:color="auto"/>
            </w:tcBorders>
            <w:vAlign w:val="center"/>
          </w:tcPr>
          <w:p w14:paraId="0F08F9C5"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Маслосистема</w:t>
            </w:r>
          </w:p>
        </w:tc>
      </w:tr>
      <w:tr w:rsidR="005979D5" w14:paraId="2F27AF90" w14:textId="77777777">
        <w:trPr>
          <w:trHeight w:val="322"/>
        </w:trPr>
        <w:tc>
          <w:tcPr>
            <w:tcW w:w="710" w:type="dxa"/>
            <w:tcBorders>
              <w:right w:val="single" w:sz="4" w:space="0" w:color="auto"/>
            </w:tcBorders>
            <w:vAlign w:val="center"/>
          </w:tcPr>
          <w:p w14:paraId="7550CFEC"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2127" w:type="dxa"/>
            <w:vMerge/>
            <w:vAlign w:val="center"/>
          </w:tcPr>
          <w:p w14:paraId="3845755D"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restart"/>
            <w:tcBorders>
              <w:right w:val="none" w:sz="4" w:space="0" w:color="000000"/>
            </w:tcBorders>
            <w:vAlign w:val="center"/>
          </w:tcPr>
          <w:p w14:paraId="5BB44886"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Паровой котел</w:t>
            </w:r>
          </w:p>
        </w:tc>
        <w:tc>
          <w:tcPr>
            <w:tcW w:w="4393" w:type="dxa"/>
            <w:vAlign w:val="center"/>
          </w:tcPr>
          <w:p w14:paraId="2E4F316B"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Каркас, обмуровка котла и газоходы </w:t>
            </w:r>
          </w:p>
        </w:tc>
      </w:tr>
      <w:tr w:rsidR="005979D5" w14:paraId="3D10826D" w14:textId="77777777">
        <w:tc>
          <w:tcPr>
            <w:tcW w:w="710" w:type="dxa"/>
            <w:vAlign w:val="center"/>
          </w:tcPr>
          <w:p w14:paraId="2086EB0D"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1.7.1.</w:t>
            </w:r>
          </w:p>
        </w:tc>
        <w:tc>
          <w:tcPr>
            <w:tcW w:w="2127" w:type="dxa"/>
            <w:vMerge/>
            <w:vAlign w:val="center"/>
          </w:tcPr>
          <w:p w14:paraId="72F40CFD"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bottom w:val="single" w:sz="4" w:space="0" w:color="auto"/>
            </w:tcBorders>
            <w:vAlign w:val="center"/>
          </w:tcPr>
          <w:p w14:paraId="17A339C1"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tcBorders>
              <w:bottom w:val="single" w:sz="4" w:space="0" w:color="auto"/>
            </w:tcBorders>
            <w:vAlign w:val="center"/>
          </w:tcPr>
          <w:p w14:paraId="6BEB4DB1"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Пароводяная арматура в пределах котла</w:t>
            </w:r>
          </w:p>
        </w:tc>
      </w:tr>
      <w:tr w:rsidR="005979D5" w14:paraId="02C89B86" w14:textId="77777777">
        <w:tc>
          <w:tcPr>
            <w:tcW w:w="710" w:type="dxa"/>
            <w:vAlign w:val="center"/>
          </w:tcPr>
          <w:p w14:paraId="3D6864A4"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127" w:type="dxa"/>
            <w:vMerge/>
            <w:vAlign w:val="center"/>
          </w:tcPr>
          <w:p w14:paraId="68E9C7A2"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tcBorders>
              <w:bottom w:val="single" w:sz="4" w:space="0" w:color="auto"/>
              <w:right w:val="none" w:sz="4" w:space="0" w:color="000000"/>
            </w:tcBorders>
            <w:vAlign w:val="center"/>
          </w:tcPr>
          <w:p w14:paraId="6B9C8CCE"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Гидрогенератор</w:t>
            </w:r>
          </w:p>
        </w:tc>
        <w:tc>
          <w:tcPr>
            <w:tcW w:w="4393" w:type="dxa"/>
            <w:tcBorders>
              <w:bottom w:val="single" w:sz="4" w:space="0" w:color="auto"/>
            </w:tcBorders>
            <w:vAlign w:val="center"/>
          </w:tcPr>
          <w:p w14:paraId="6FD2BDCF"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Щеточно-контактный аппарат (ЩКА)</w:t>
            </w:r>
          </w:p>
        </w:tc>
      </w:tr>
      <w:tr w:rsidR="005979D5" w14:paraId="02A305D2" w14:textId="77777777">
        <w:trPr>
          <w:trHeight w:val="322"/>
        </w:trPr>
        <w:tc>
          <w:tcPr>
            <w:tcW w:w="710" w:type="dxa"/>
            <w:vAlign w:val="center"/>
          </w:tcPr>
          <w:p w14:paraId="650317C1"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2127" w:type="dxa"/>
            <w:vMerge/>
            <w:vAlign w:val="center"/>
          </w:tcPr>
          <w:p w14:paraId="42B32A2C"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restart"/>
            <w:tcBorders>
              <w:top w:val="single" w:sz="4" w:space="0" w:color="auto"/>
            </w:tcBorders>
            <w:vAlign w:val="center"/>
          </w:tcPr>
          <w:p w14:paraId="6E65A968"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color w:val="000000"/>
                <w:sz w:val="28"/>
                <w:szCs w:val="28"/>
              </w:rPr>
              <w:t>Турбогенератор</w:t>
            </w:r>
          </w:p>
        </w:tc>
        <w:tc>
          <w:tcPr>
            <w:tcW w:w="4393" w:type="dxa"/>
            <w:vAlign w:val="center"/>
          </w:tcPr>
          <w:p w14:paraId="4D20E94D"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Подшипники, уплотнения вала</w:t>
            </w:r>
          </w:p>
        </w:tc>
      </w:tr>
      <w:tr w:rsidR="005979D5" w14:paraId="449A65BE" w14:textId="77777777">
        <w:trPr>
          <w:trHeight w:val="607"/>
        </w:trPr>
        <w:tc>
          <w:tcPr>
            <w:tcW w:w="710" w:type="dxa"/>
            <w:vAlign w:val="center"/>
          </w:tcPr>
          <w:p w14:paraId="4322EA68"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2.1.1.</w:t>
            </w:r>
          </w:p>
        </w:tc>
        <w:tc>
          <w:tcPr>
            <w:tcW w:w="2127" w:type="dxa"/>
            <w:vMerge/>
            <w:vAlign w:val="center"/>
          </w:tcPr>
          <w:p w14:paraId="2D877C90" w14:textId="77777777" w:rsidR="005979D5" w:rsidRDefault="005979D5">
            <w:pPr>
              <w:pStyle w:val="ConsPlusNormal"/>
              <w:spacing w:line="276" w:lineRule="auto"/>
              <w:contextualSpacing/>
              <w:rPr>
                <w:rFonts w:ascii="Times New Roman" w:hAnsi="Times New Roman" w:cs="Times New Roman"/>
                <w:sz w:val="28"/>
                <w:szCs w:val="28"/>
              </w:rPr>
            </w:pPr>
          </w:p>
        </w:tc>
        <w:tc>
          <w:tcPr>
            <w:tcW w:w="2409" w:type="dxa"/>
            <w:vMerge/>
            <w:vAlign w:val="center"/>
          </w:tcPr>
          <w:p w14:paraId="41C2768E"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5C4B020C" w14:textId="77777777" w:rsidR="005979D5" w:rsidRDefault="002B4D7C">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Система водоснабжения газоохладителей, система водяного охлаждения обмоток статора и ротора</w:t>
            </w:r>
          </w:p>
        </w:tc>
      </w:tr>
      <w:tr w:rsidR="005979D5" w14:paraId="706C392F" w14:textId="77777777">
        <w:tc>
          <w:tcPr>
            <w:tcW w:w="710" w:type="dxa"/>
            <w:vAlign w:val="center"/>
          </w:tcPr>
          <w:p w14:paraId="723E0CA0"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2127" w:type="dxa"/>
            <w:vMerge/>
            <w:vAlign w:val="center"/>
          </w:tcPr>
          <w:p w14:paraId="517757D3"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ign w:val="center"/>
          </w:tcPr>
          <w:p w14:paraId="6A7123AC" w14:textId="77777777" w:rsidR="005979D5" w:rsidRDefault="005979D5">
            <w:pPr>
              <w:pStyle w:val="ConsPlusNormal"/>
              <w:spacing w:line="360" w:lineRule="auto"/>
              <w:contextualSpacing/>
              <w:jc w:val="center"/>
              <w:rPr>
                <w:rFonts w:ascii="Times New Roman" w:hAnsi="Times New Roman" w:cs="Times New Roman"/>
                <w:sz w:val="28"/>
                <w:szCs w:val="28"/>
              </w:rPr>
            </w:pPr>
          </w:p>
        </w:tc>
        <w:tc>
          <w:tcPr>
            <w:tcW w:w="4393" w:type="dxa"/>
            <w:vAlign w:val="center"/>
          </w:tcPr>
          <w:p w14:paraId="11727E84"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Система возбуждения </w:t>
            </w:r>
          </w:p>
        </w:tc>
      </w:tr>
      <w:tr w:rsidR="005979D5" w14:paraId="3FE7086E" w14:textId="77777777">
        <w:trPr>
          <w:trHeight w:val="311"/>
        </w:trPr>
        <w:tc>
          <w:tcPr>
            <w:tcW w:w="710" w:type="dxa"/>
            <w:vAlign w:val="center"/>
          </w:tcPr>
          <w:p w14:paraId="02DAB8DD"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2.2.1.</w:t>
            </w:r>
          </w:p>
        </w:tc>
        <w:tc>
          <w:tcPr>
            <w:tcW w:w="2127" w:type="dxa"/>
            <w:vMerge/>
            <w:vAlign w:val="center"/>
          </w:tcPr>
          <w:p w14:paraId="1BF2A245"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bottom w:val="single" w:sz="4" w:space="0" w:color="auto"/>
            </w:tcBorders>
            <w:vAlign w:val="center"/>
          </w:tcPr>
          <w:p w14:paraId="4647FC72"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tcBorders>
              <w:bottom w:val="single" w:sz="4" w:space="0" w:color="auto"/>
            </w:tcBorders>
            <w:vAlign w:val="center"/>
          </w:tcPr>
          <w:p w14:paraId="52AC87EA"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Щеточно-контактный аппарат (ЩКА)</w:t>
            </w:r>
          </w:p>
        </w:tc>
      </w:tr>
      <w:tr w:rsidR="005979D5" w14:paraId="7847BBB1" w14:textId="77777777">
        <w:trPr>
          <w:trHeight w:val="322"/>
        </w:trPr>
        <w:tc>
          <w:tcPr>
            <w:tcW w:w="710" w:type="dxa"/>
            <w:vAlign w:val="center"/>
          </w:tcPr>
          <w:p w14:paraId="1D3B376F"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2.2.2.</w:t>
            </w:r>
          </w:p>
        </w:tc>
        <w:tc>
          <w:tcPr>
            <w:tcW w:w="2127" w:type="dxa"/>
            <w:vMerge/>
            <w:vAlign w:val="center"/>
          </w:tcPr>
          <w:p w14:paraId="03CA5E24"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restart"/>
            <w:tcBorders>
              <w:top w:val="single" w:sz="4" w:space="0" w:color="auto"/>
            </w:tcBorders>
            <w:vAlign w:val="center"/>
          </w:tcPr>
          <w:p w14:paraId="058A4321"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Трансформатор силовой</w:t>
            </w:r>
          </w:p>
        </w:tc>
        <w:tc>
          <w:tcPr>
            <w:tcW w:w="4393" w:type="dxa"/>
            <w:vAlign w:val="center"/>
          </w:tcPr>
          <w:p w14:paraId="243DF75F"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Высоковольтный ввод</w:t>
            </w:r>
          </w:p>
        </w:tc>
      </w:tr>
      <w:tr w:rsidR="005979D5" w14:paraId="50E40F75" w14:textId="77777777">
        <w:tc>
          <w:tcPr>
            <w:tcW w:w="710" w:type="dxa"/>
            <w:vAlign w:val="center"/>
          </w:tcPr>
          <w:p w14:paraId="72F880BD"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2.2.3.</w:t>
            </w:r>
          </w:p>
        </w:tc>
        <w:tc>
          <w:tcPr>
            <w:tcW w:w="2127" w:type="dxa"/>
            <w:vMerge/>
            <w:vAlign w:val="center"/>
          </w:tcPr>
          <w:p w14:paraId="426FD436"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ign w:val="center"/>
          </w:tcPr>
          <w:p w14:paraId="572CF7B4"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7327974B"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Вспомогательное оборудование</w:t>
            </w:r>
          </w:p>
        </w:tc>
      </w:tr>
      <w:tr w:rsidR="005979D5" w14:paraId="2A568611" w14:textId="77777777">
        <w:tc>
          <w:tcPr>
            <w:tcW w:w="710" w:type="dxa"/>
            <w:vAlign w:val="center"/>
          </w:tcPr>
          <w:p w14:paraId="5831D50B"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2.3.</w:t>
            </w:r>
          </w:p>
        </w:tc>
        <w:tc>
          <w:tcPr>
            <w:tcW w:w="2127" w:type="dxa"/>
            <w:vMerge/>
            <w:vAlign w:val="center"/>
          </w:tcPr>
          <w:p w14:paraId="0AC6E329"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vAlign w:val="center"/>
          </w:tcPr>
          <w:p w14:paraId="0B055F69"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vAlign w:val="center"/>
          </w:tcPr>
          <w:p w14:paraId="6829E581"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Изоляционная система</w:t>
            </w:r>
          </w:p>
        </w:tc>
      </w:tr>
      <w:tr w:rsidR="005979D5" w14:paraId="0A788EBF" w14:textId="77777777">
        <w:tc>
          <w:tcPr>
            <w:tcW w:w="710" w:type="dxa"/>
            <w:vAlign w:val="center"/>
          </w:tcPr>
          <w:p w14:paraId="54620BD9"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2.3.1.</w:t>
            </w:r>
          </w:p>
        </w:tc>
        <w:tc>
          <w:tcPr>
            <w:tcW w:w="2127" w:type="dxa"/>
            <w:vMerge/>
            <w:tcBorders>
              <w:bottom w:val="single" w:sz="4" w:space="0" w:color="auto"/>
            </w:tcBorders>
            <w:vAlign w:val="center"/>
          </w:tcPr>
          <w:p w14:paraId="506D5D39" w14:textId="77777777" w:rsidR="005979D5" w:rsidRDefault="005979D5">
            <w:pPr>
              <w:pStyle w:val="ConsPlusNormal"/>
              <w:spacing w:line="360" w:lineRule="auto"/>
              <w:ind w:firstLine="567"/>
              <w:contextualSpacing/>
              <w:rPr>
                <w:rFonts w:ascii="Times New Roman" w:hAnsi="Times New Roman" w:cs="Times New Roman"/>
                <w:sz w:val="28"/>
                <w:szCs w:val="28"/>
              </w:rPr>
            </w:pPr>
          </w:p>
        </w:tc>
        <w:tc>
          <w:tcPr>
            <w:tcW w:w="2409" w:type="dxa"/>
            <w:vMerge/>
            <w:tcBorders>
              <w:bottom w:val="single" w:sz="4" w:space="0" w:color="auto"/>
            </w:tcBorders>
            <w:vAlign w:val="center"/>
          </w:tcPr>
          <w:p w14:paraId="0E9E21EF" w14:textId="77777777" w:rsidR="005979D5" w:rsidRDefault="005979D5">
            <w:pPr>
              <w:pStyle w:val="ConsPlusNormal"/>
              <w:spacing w:line="360" w:lineRule="auto"/>
              <w:ind w:firstLine="567"/>
              <w:contextualSpacing/>
              <w:jc w:val="center"/>
              <w:rPr>
                <w:rFonts w:ascii="Times New Roman" w:hAnsi="Times New Roman" w:cs="Times New Roman"/>
                <w:sz w:val="28"/>
                <w:szCs w:val="28"/>
              </w:rPr>
            </w:pPr>
          </w:p>
        </w:tc>
        <w:tc>
          <w:tcPr>
            <w:tcW w:w="4393" w:type="dxa"/>
            <w:tcBorders>
              <w:bottom w:val="single" w:sz="4" w:space="0" w:color="auto"/>
            </w:tcBorders>
            <w:vAlign w:val="center"/>
          </w:tcPr>
          <w:p w14:paraId="63889993" w14:textId="77777777" w:rsidR="005979D5" w:rsidRDefault="002B4D7C">
            <w:pPr>
              <w:spacing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Система регулирования напряжения</w:t>
            </w:r>
          </w:p>
        </w:tc>
      </w:tr>
    </w:tbl>
    <w:p w14:paraId="4E08EFE8" w14:textId="77777777" w:rsidR="005979D5" w:rsidRDefault="005979D5">
      <w:pPr>
        <w:pStyle w:val="ConsPlusNormal"/>
        <w:spacing w:line="360" w:lineRule="auto"/>
        <w:ind w:firstLine="567"/>
        <w:contextualSpacing/>
        <w:jc w:val="both"/>
        <w:rPr>
          <w:rFonts w:ascii="Times New Roman" w:hAnsi="Times New Roman" w:cs="Times New Roman"/>
          <w:sz w:val="28"/>
          <w:szCs w:val="28"/>
        </w:rPr>
      </w:pPr>
    </w:p>
    <w:p w14:paraId="47E86BCD" w14:textId="77777777" w:rsidR="005979D5" w:rsidRDefault="005979D5">
      <w:pPr>
        <w:pStyle w:val="ConsPlusNormal"/>
        <w:spacing w:line="360" w:lineRule="auto"/>
        <w:ind w:firstLine="567"/>
        <w:contextualSpacing/>
        <w:jc w:val="right"/>
        <w:rPr>
          <w:rFonts w:ascii="Times New Roman" w:hAnsi="Times New Roman" w:cs="Times New Roman"/>
          <w:b/>
          <w:sz w:val="28"/>
          <w:szCs w:val="28"/>
        </w:rPr>
        <w:sectPr w:rsidR="005979D5">
          <w:pgSz w:w="11906" w:h="16838"/>
          <w:pgMar w:top="1134" w:right="567" w:bottom="1134" w:left="1134" w:header="709" w:footer="709" w:gutter="0"/>
          <w:pgNumType w:start="1"/>
          <w:cols w:space="708"/>
          <w:titlePg/>
          <w:docGrid w:linePitch="360"/>
        </w:sectPr>
      </w:pPr>
    </w:p>
    <w:p w14:paraId="3A7C6D1E" w14:textId="77777777" w:rsidR="005979D5" w:rsidRDefault="002B4D7C">
      <w:pPr>
        <w:pStyle w:val="ConsPlusNormal"/>
        <w:ind w:left="5103" w:right="-427"/>
        <w:contextualSpacing/>
        <w:jc w:val="center"/>
        <w:rPr>
          <w:rFonts w:ascii="Times New Roman" w:hAnsi="Times New Roman" w:cs="Times New Roman"/>
          <w:sz w:val="28"/>
          <w:szCs w:val="28"/>
        </w:rPr>
      </w:pPr>
      <w:bookmarkStart w:id="4" w:name="Приложение2"/>
      <w:bookmarkEnd w:id="4"/>
      <w:r>
        <w:rPr>
          <w:rFonts w:ascii="Times New Roman" w:hAnsi="Times New Roman" w:cs="Times New Roman"/>
          <w:sz w:val="28"/>
          <w:szCs w:val="28"/>
        </w:rPr>
        <w:lastRenderedPageBreak/>
        <w:t>Приложение № 2</w:t>
      </w:r>
    </w:p>
    <w:p w14:paraId="5272E2FA" w14:textId="77777777" w:rsidR="005979D5" w:rsidRDefault="002B4D7C">
      <w:pPr>
        <w:pStyle w:val="ConsPlusNormal"/>
        <w:ind w:left="5528"/>
        <w:contextualSpacing/>
        <w:jc w:val="center"/>
        <w:rPr>
          <w:rFonts w:ascii="Times New Roman" w:hAnsi="Times New Roman" w:cs="Times New Roman"/>
          <w:sz w:val="28"/>
          <w:szCs w:val="28"/>
        </w:rPr>
      </w:pPr>
      <w:r>
        <w:rPr>
          <w:rFonts w:ascii="Times New Roman" w:hAnsi="Times New Roman" w:cs="Times New Roman"/>
          <w:sz w:val="28"/>
          <w:szCs w:val="28"/>
        </w:rPr>
        <w:t>к Методическим указаниям</w:t>
      </w:r>
    </w:p>
    <w:p w14:paraId="1C7A6AD0" w14:textId="77777777" w:rsidR="005979D5" w:rsidRDefault="002B4D7C">
      <w:pPr>
        <w:pStyle w:val="ConsPlusNormal"/>
        <w:ind w:left="5528"/>
        <w:contextualSpacing/>
        <w:jc w:val="center"/>
        <w:rPr>
          <w:rFonts w:ascii="Times New Roman" w:hAnsi="Times New Roman" w:cs="Times New Roman"/>
          <w:sz w:val="28"/>
          <w:szCs w:val="28"/>
        </w:rPr>
      </w:pPr>
      <w:r>
        <w:rPr>
          <w:rFonts w:ascii="Times New Roman" w:hAnsi="Times New Roman" w:cs="Times New Roman"/>
          <w:sz w:val="28"/>
          <w:szCs w:val="28"/>
        </w:rPr>
        <w:t>по расчету вероятности отказа</w:t>
      </w:r>
    </w:p>
    <w:p w14:paraId="1F6066CF" w14:textId="77777777" w:rsidR="005979D5" w:rsidRDefault="002B4D7C">
      <w:pPr>
        <w:pStyle w:val="ConsPlusNormal"/>
        <w:ind w:left="5528"/>
        <w:contextualSpacing/>
        <w:jc w:val="center"/>
        <w:rPr>
          <w:rFonts w:ascii="Times New Roman" w:hAnsi="Times New Roman" w:cs="Times New Roman"/>
          <w:sz w:val="28"/>
          <w:szCs w:val="28"/>
        </w:rPr>
      </w:pPr>
      <w:r>
        <w:rPr>
          <w:rFonts w:ascii="Times New Roman" w:hAnsi="Times New Roman" w:cs="Times New Roman"/>
          <w:sz w:val="28"/>
          <w:szCs w:val="28"/>
        </w:rPr>
        <w:t>функционального узла и единицы</w:t>
      </w:r>
    </w:p>
    <w:p w14:paraId="5054E459" w14:textId="77777777" w:rsidR="005979D5" w:rsidRDefault="002B4D7C">
      <w:pPr>
        <w:pStyle w:val="ConsPlusNormal"/>
        <w:ind w:left="5528"/>
        <w:contextualSpacing/>
        <w:jc w:val="center"/>
        <w:rPr>
          <w:rFonts w:ascii="Times New Roman" w:hAnsi="Times New Roman" w:cs="Times New Roman"/>
          <w:sz w:val="28"/>
          <w:szCs w:val="28"/>
        </w:rPr>
      </w:pPr>
      <w:r>
        <w:rPr>
          <w:rFonts w:ascii="Times New Roman" w:hAnsi="Times New Roman" w:cs="Times New Roman"/>
          <w:sz w:val="28"/>
          <w:szCs w:val="28"/>
        </w:rPr>
        <w:t>основного технологического</w:t>
      </w:r>
    </w:p>
    <w:p w14:paraId="63C8F94E" w14:textId="77777777" w:rsidR="005979D5" w:rsidRDefault="002B4D7C">
      <w:pPr>
        <w:pStyle w:val="ConsPlusNormal"/>
        <w:ind w:left="5528"/>
        <w:contextualSpacing/>
        <w:jc w:val="center"/>
        <w:rPr>
          <w:rFonts w:ascii="Times New Roman" w:hAnsi="Times New Roman" w:cs="Times New Roman"/>
          <w:sz w:val="28"/>
          <w:szCs w:val="28"/>
        </w:rPr>
      </w:pPr>
      <w:r>
        <w:rPr>
          <w:rFonts w:ascii="Times New Roman" w:hAnsi="Times New Roman" w:cs="Times New Roman"/>
          <w:sz w:val="28"/>
          <w:szCs w:val="28"/>
        </w:rPr>
        <w:t>оборудования и оценки</w:t>
      </w:r>
    </w:p>
    <w:p w14:paraId="30111069" w14:textId="77777777" w:rsidR="005979D5" w:rsidRDefault="002B4D7C">
      <w:pPr>
        <w:pStyle w:val="ConsPlusNormal"/>
        <w:ind w:left="5528"/>
        <w:contextualSpacing/>
        <w:jc w:val="center"/>
        <w:rPr>
          <w:rFonts w:ascii="Times New Roman" w:hAnsi="Times New Roman" w:cs="Times New Roman"/>
          <w:sz w:val="28"/>
          <w:szCs w:val="28"/>
        </w:rPr>
      </w:pPr>
      <w:r>
        <w:rPr>
          <w:rFonts w:ascii="Times New Roman" w:hAnsi="Times New Roman" w:cs="Times New Roman"/>
          <w:sz w:val="28"/>
          <w:szCs w:val="28"/>
        </w:rPr>
        <w:t>последствий такого отказа,</w:t>
      </w:r>
    </w:p>
    <w:p w14:paraId="19AF5547" w14:textId="77777777" w:rsidR="005979D5" w:rsidRDefault="002B4D7C">
      <w:pPr>
        <w:pStyle w:val="ConsPlusNormal"/>
        <w:ind w:left="5528"/>
        <w:contextualSpacing/>
        <w:jc w:val="center"/>
        <w:rPr>
          <w:rFonts w:ascii="Times New Roman" w:hAnsi="Times New Roman" w:cs="Times New Roman"/>
          <w:sz w:val="28"/>
          <w:szCs w:val="28"/>
        </w:rPr>
      </w:pPr>
      <w:r>
        <w:rPr>
          <w:rFonts w:ascii="Times New Roman" w:hAnsi="Times New Roman" w:cs="Times New Roman"/>
          <w:sz w:val="28"/>
          <w:szCs w:val="28"/>
        </w:rPr>
        <w:t>утвержденным приказом</w:t>
      </w:r>
    </w:p>
    <w:p w14:paraId="7667430E" w14:textId="77777777" w:rsidR="005979D5" w:rsidRDefault="002B4D7C">
      <w:pPr>
        <w:pStyle w:val="ConsPlusNormal"/>
        <w:ind w:left="5528"/>
        <w:contextualSpacing/>
        <w:jc w:val="center"/>
        <w:rPr>
          <w:rFonts w:ascii="Times New Roman" w:hAnsi="Times New Roman" w:cs="Times New Roman"/>
          <w:sz w:val="28"/>
          <w:szCs w:val="28"/>
        </w:rPr>
      </w:pPr>
      <w:r>
        <w:rPr>
          <w:rFonts w:ascii="Times New Roman" w:hAnsi="Times New Roman" w:cs="Times New Roman"/>
          <w:sz w:val="28"/>
          <w:szCs w:val="28"/>
        </w:rPr>
        <w:t>Минэнерго России</w:t>
      </w:r>
    </w:p>
    <w:p w14:paraId="72846E1D" w14:textId="6371D655"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от «__» ________ 2025 г. №</w:t>
      </w:r>
    </w:p>
    <w:p w14:paraId="5D813C74" w14:textId="77777777" w:rsidR="005979D5" w:rsidRDefault="005979D5">
      <w:pPr>
        <w:pStyle w:val="ConsPlusNormal"/>
        <w:ind w:left="5528"/>
        <w:contextualSpacing/>
        <w:jc w:val="center"/>
        <w:rPr>
          <w:rFonts w:ascii="Times New Roman" w:hAnsi="Times New Roman" w:cs="Times New Roman"/>
          <w:sz w:val="28"/>
          <w:szCs w:val="28"/>
        </w:rPr>
      </w:pPr>
    </w:p>
    <w:p w14:paraId="41F919F6" w14:textId="77777777" w:rsidR="005979D5" w:rsidRDefault="002B4D7C">
      <w:pPr>
        <w:pStyle w:val="ConsPlusTitle"/>
        <w:contextualSpacing/>
        <w:jc w:val="center"/>
        <w:outlineLvl w:val="0"/>
        <w:rPr>
          <w:rFonts w:ascii="Times New Roman" w:hAnsi="Times New Roman" w:cs="Times New Roman"/>
          <w:b w:val="0"/>
          <w:sz w:val="28"/>
          <w:szCs w:val="28"/>
        </w:rPr>
      </w:pPr>
      <w:r>
        <w:rPr>
          <w:rFonts w:ascii="Times New Roman" w:hAnsi="Times New Roman" w:cs="Times New Roman"/>
          <w:b w:val="0"/>
          <w:sz w:val="28"/>
          <w:szCs w:val="28"/>
        </w:rPr>
        <w:t>Среднее время восстановления работоспособности единицы основного технологического оборудования</w:t>
      </w:r>
    </w:p>
    <w:tbl>
      <w:tblPr>
        <w:tblStyle w:val="TableGrid"/>
        <w:tblW w:w="9776" w:type="dxa"/>
        <w:tblLook w:val="04A0" w:firstRow="1" w:lastRow="0" w:firstColumn="1" w:lastColumn="0" w:noHBand="0" w:noVBand="1"/>
      </w:tblPr>
      <w:tblGrid>
        <w:gridCol w:w="694"/>
        <w:gridCol w:w="4670"/>
        <w:gridCol w:w="4412"/>
      </w:tblGrid>
      <w:tr w:rsidR="005979D5" w14:paraId="6A83B82C" w14:textId="77777777">
        <w:tc>
          <w:tcPr>
            <w:tcW w:w="694" w:type="dxa"/>
            <w:vAlign w:val="center"/>
          </w:tcPr>
          <w:p w14:paraId="0C65DAD2" w14:textId="77777777" w:rsidR="005979D5" w:rsidRDefault="002B4D7C">
            <w:pPr>
              <w:pStyle w:val="ConsPlusNormal"/>
              <w:ind w:firstLine="29"/>
              <w:contextualSpacing/>
              <w:jc w:val="center"/>
              <w:rPr>
                <w:rFonts w:ascii="Times New Roman" w:hAnsi="Times New Roman" w:cs="Times New Roman"/>
                <w:sz w:val="28"/>
                <w:szCs w:val="28"/>
              </w:rPr>
            </w:pPr>
            <w:r>
              <w:rPr>
                <w:rFonts w:ascii="Times New Roman" w:hAnsi="Times New Roman" w:cs="Times New Roman"/>
                <w:sz w:val="28"/>
                <w:szCs w:val="28"/>
              </w:rPr>
              <w:t>№ п/п.</w:t>
            </w:r>
          </w:p>
        </w:tc>
        <w:tc>
          <w:tcPr>
            <w:tcW w:w="4670" w:type="dxa"/>
            <w:vAlign w:val="center"/>
          </w:tcPr>
          <w:p w14:paraId="3A8865B5"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Основное технологическое оборудование и сооружения</w:t>
            </w:r>
          </w:p>
        </w:tc>
        <w:tc>
          <w:tcPr>
            <w:tcW w:w="4412" w:type="dxa"/>
            <w:vAlign w:val="center"/>
          </w:tcPr>
          <w:p w14:paraId="1DB2AC2B"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Время восстановления t</w:t>
            </w:r>
            <w:r>
              <w:rPr>
                <w:rFonts w:ascii="Times New Roman" w:hAnsi="Times New Roman" w:cs="Times New Roman"/>
                <w:sz w:val="28"/>
                <w:szCs w:val="28"/>
                <w:vertAlign w:val="subscript"/>
              </w:rPr>
              <w:t>в</w:t>
            </w:r>
            <w:r>
              <w:rPr>
                <w:rFonts w:ascii="Times New Roman" w:hAnsi="Times New Roman" w:cs="Times New Roman"/>
                <w:sz w:val="28"/>
                <w:szCs w:val="28"/>
              </w:rPr>
              <w:t>, ч.</w:t>
            </w:r>
          </w:p>
        </w:tc>
      </w:tr>
      <w:tr w:rsidR="005979D5" w14:paraId="0CBF00C3" w14:textId="77777777">
        <w:tc>
          <w:tcPr>
            <w:tcW w:w="694" w:type="dxa"/>
          </w:tcPr>
          <w:p w14:paraId="5A3D65EC"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4670" w:type="dxa"/>
          </w:tcPr>
          <w:p w14:paraId="007BE4D5"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Воздушные линии электропередачи</w:t>
            </w:r>
          </w:p>
        </w:tc>
        <w:tc>
          <w:tcPr>
            <w:tcW w:w="4412" w:type="dxa"/>
          </w:tcPr>
          <w:p w14:paraId="2C06678B"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5,1</w:t>
            </w:r>
          </w:p>
        </w:tc>
      </w:tr>
      <w:tr w:rsidR="005979D5" w14:paraId="0D77BDF8" w14:textId="77777777">
        <w:tc>
          <w:tcPr>
            <w:tcW w:w="694" w:type="dxa"/>
            <w:shd w:val="clear" w:color="auto" w:fill="auto"/>
          </w:tcPr>
          <w:p w14:paraId="168CFFD6"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4670" w:type="dxa"/>
            <w:shd w:val="clear" w:color="auto" w:fill="auto"/>
          </w:tcPr>
          <w:p w14:paraId="3A3F7F69"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Кабельные линии электропередачи</w:t>
            </w:r>
          </w:p>
        </w:tc>
        <w:tc>
          <w:tcPr>
            <w:tcW w:w="4412" w:type="dxa"/>
            <w:shd w:val="clear" w:color="auto" w:fill="auto"/>
          </w:tcPr>
          <w:p w14:paraId="3107A5FE"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5,1</w:t>
            </w:r>
          </w:p>
        </w:tc>
      </w:tr>
      <w:tr w:rsidR="005979D5" w14:paraId="700F99D5" w14:textId="77777777">
        <w:tc>
          <w:tcPr>
            <w:tcW w:w="694" w:type="dxa"/>
          </w:tcPr>
          <w:p w14:paraId="45BF8B84"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4670" w:type="dxa"/>
          </w:tcPr>
          <w:p w14:paraId="6058182C"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Гидрогенераторы</w:t>
            </w:r>
          </w:p>
        </w:tc>
        <w:tc>
          <w:tcPr>
            <w:tcW w:w="4412" w:type="dxa"/>
          </w:tcPr>
          <w:p w14:paraId="2EA44C4B"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74,9</w:t>
            </w:r>
          </w:p>
        </w:tc>
      </w:tr>
      <w:tr w:rsidR="005979D5" w14:paraId="207E4433" w14:textId="77777777">
        <w:tc>
          <w:tcPr>
            <w:tcW w:w="694" w:type="dxa"/>
          </w:tcPr>
          <w:p w14:paraId="218D7040"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4670" w:type="dxa"/>
          </w:tcPr>
          <w:p w14:paraId="4A180212"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Гидротурбины</w:t>
            </w:r>
          </w:p>
        </w:tc>
        <w:tc>
          <w:tcPr>
            <w:tcW w:w="4412" w:type="dxa"/>
          </w:tcPr>
          <w:p w14:paraId="16143692"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68</w:t>
            </w:r>
          </w:p>
        </w:tc>
      </w:tr>
      <w:tr w:rsidR="005979D5" w14:paraId="7C75338B" w14:textId="77777777">
        <w:tc>
          <w:tcPr>
            <w:tcW w:w="694" w:type="dxa"/>
          </w:tcPr>
          <w:p w14:paraId="270B251B"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4670" w:type="dxa"/>
          </w:tcPr>
          <w:p w14:paraId="719B48B5"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Паровые (энергетические) котлы</w:t>
            </w:r>
          </w:p>
        </w:tc>
        <w:tc>
          <w:tcPr>
            <w:tcW w:w="4412" w:type="dxa"/>
          </w:tcPr>
          <w:p w14:paraId="6D414807"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43</w:t>
            </w:r>
          </w:p>
        </w:tc>
      </w:tr>
      <w:tr w:rsidR="005979D5" w14:paraId="4B227BD2" w14:textId="77777777">
        <w:tc>
          <w:tcPr>
            <w:tcW w:w="694" w:type="dxa"/>
          </w:tcPr>
          <w:p w14:paraId="37475734"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6.</w:t>
            </w:r>
          </w:p>
        </w:tc>
        <w:tc>
          <w:tcPr>
            <w:tcW w:w="4670" w:type="dxa"/>
          </w:tcPr>
          <w:p w14:paraId="46E93B89"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Паровые турбины Х:</w:t>
            </w:r>
          </w:p>
        </w:tc>
        <w:tc>
          <w:tcPr>
            <w:tcW w:w="4412" w:type="dxa"/>
          </w:tcPr>
          <w:p w14:paraId="7C9DC1D8" w14:textId="77777777" w:rsidR="005979D5" w:rsidRDefault="005979D5">
            <w:pPr>
              <w:pStyle w:val="ConsPlusNormal"/>
              <w:spacing w:line="360" w:lineRule="auto"/>
              <w:contextualSpacing/>
              <w:jc w:val="center"/>
              <w:rPr>
                <w:rFonts w:ascii="Times New Roman" w:hAnsi="Times New Roman" w:cs="Times New Roman"/>
                <w:sz w:val="28"/>
                <w:szCs w:val="28"/>
              </w:rPr>
            </w:pPr>
          </w:p>
        </w:tc>
      </w:tr>
      <w:tr w:rsidR="005979D5" w14:paraId="534B790F" w14:textId="77777777">
        <w:tc>
          <w:tcPr>
            <w:tcW w:w="694" w:type="dxa"/>
          </w:tcPr>
          <w:p w14:paraId="04F506FA"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6.1.</w:t>
            </w:r>
          </w:p>
        </w:tc>
        <w:tc>
          <w:tcPr>
            <w:tcW w:w="4670" w:type="dxa"/>
          </w:tcPr>
          <w:p w14:paraId="47195693"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конденсационные</w:t>
            </w:r>
          </w:p>
        </w:tc>
        <w:tc>
          <w:tcPr>
            <w:tcW w:w="4412" w:type="dxa"/>
          </w:tcPr>
          <w:p w14:paraId="321B1042"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57,1</w:t>
            </w:r>
          </w:p>
        </w:tc>
      </w:tr>
      <w:tr w:rsidR="005979D5" w14:paraId="15A9241E" w14:textId="77777777">
        <w:tc>
          <w:tcPr>
            <w:tcW w:w="694" w:type="dxa"/>
          </w:tcPr>
          <w:p w14:paraId="1170206D"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6.2.</w:t>
            </w:r>
          </w:p>
        </w:tc>
        <w:tc>
          <w:tcPr>
            <w:tcW w:w="4670" w:type="dxa"/>
          </w:tcPr>
          <w:p w14:paraId="15989F43"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 промотбором</w:t>
            </w:r>
          </w:p>
        </w:tc>
        <w:tc>
          <w:tcPr>
            <w:tcW w:w="4412" w:type="dxa"/>
          </w:tcPr>
          <w:p w14:paraId="1B228085"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34,6</w:t>
            </w:r>
          </w:p>
        </w:tc>
      </w:tr>
      <w:tr w:rsidR="005979D5" w14:paraId="505BA6DE" w14:textId="77777777">
        <w:tc>
          <w:tcPr>
            <w:tcW w:w="694" w:type="dxa"/>
          </w:tcPr>
          <w:p w14:paraId="14DB5669"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6.3.</w:t>
            </w:r>
          </w:p>
        </w:tc>
        <w:tc>
          <w:tcPr>
            <w:tcW w:w="4670" w:type="dxa"/>
          </w:tcPr>
          <w:p w14:paraId="3D8EC6DF"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 противодавлением</w:t>
            </w:r>
          </w:p>
        </w:tc>
        <w:tc>
          <w:tcPr>
            <w:tcW w:w="4412" w:type="dxa"/>
          </w:tcPr>
          <w:p w14:paraId="297032DA"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68</w:t>
            </w:r>
          </w:p>
        </w:tc>
      </w:tr>
      <w:tr w:rsidR="005979D5" w14:paraId="09BF20E7" w14:textId="77777777">
        <w:tc>
          <w:tcPr>
            <w:tcW w:w="694" w:type="dxa"/>
          </w:tcPr>
          <w:p w14:paraId="671D6C09"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6.4.</w:t>
            </w:r>
          </w:p>
        </w:tc>
        <w:tc>
          <w:tcPr>
            <w:tcW w:w="4670" w:type="dxa"/>
          </w:tcPr>
          <w:p w14:paraId="6EC689DB"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теплофикационные</w:t>
            </w:r>
          </w:p>
        </w:tc>
        <w:tc>
          <w:tcPr>
            <w:tcW w:w="4412" w:type="dxa"/>
          </w:tcPr>
          <w:p w14:paraId="51A388AC"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50,2</w:t>
            </w:r>
          </w:p>
        </w:tc>
      </w:tr>
      <w:tr w:rsidR="005979D5" w14:paraId="6B97707D" w14:textId="77777777">
        <w:tc>
          <w:tcPr>
            <w:tcW w:w="694" w:type="dxa"/>
          </w:tcPr>
          <w:p w14:paraId="045DFF69"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4670" w:type="dxa"/>
          </w:tcPr>
          <w:p w14:paraId="251C092E"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Газовые турбины</w:t>
            </w:r>
          </w:p>
        </w:tc>
        <w:tc>
          <w:tcPr>
            <w:tcW w:w="4412" w:type="dxa"/>
          </w:tcPr>
          <w:p w14:paraId="3F98FFBB"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60</w:t>
            </w:r>
          </w:p>
        </w:tc>
      </w:tr>
      <w:tr w:rsidR="005979D5" w14:paraId="43A34A3E" w14:textId="77777777">
        <w:tc>
          <w:tcPr>
            <w:tcW w:w="694" w:type="dxa"/>
          </w:tcPr>
          <w:p w14:paraId="2BC35729"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8.</w:t>
            </w:r>
          </w:p>
        </w:tc>
        <w:tc>
          <w:tcPr>
            <w:tcW w:w="4670" w:type="dxa"/>
          </w:tcPr>
          <w:p w14:paraId="7FF37B29"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Турбогенераторы</w:t>
            </w:r>
          </w:p>
        </w:tc>
        <w:tc>
          <w:tcPr>
            <w:tcW w:w="4412" w:type="dxa"/>
          </w:tcPr>
          <w:p w14:paraId="3AC8C7BC"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77,2</w:t>
            </w:r>
          </w:p>
        </w:tc>
      </w:tr>
      <w:tr w:rsidR="005979D5" w14:paraId="2A613B53" w14:textId="77777777">
        <w:tc>
          <w:tcPr>
            <w:tcW w:w="694" w:type="dxa"/>
          </w:tcPr>
          <w:p w14:paraId="6A640948" w14:textId="77777777" w:rsidR="005979D5" w:rsidRDefault="002B4D7C">
            <w:pPr>
              <w:pStyle w:val="ConsPlusNormal"/>
              <w:spacing w:line="360" w:lineRule="auto"/>
              <w:ind w:firstLine="29"/>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4670" w:type="dxa"/>
          </w:tcPr>
          <w:p w14:paraId="1AC50A6A"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Силовые (авто-)трансформаторы</w:t>
            </w:r>
          </w:p>
        </w:tc>
        <w:tc>
          <w:tcPr>
            <w:tcW w:w="4412" w:type="dxa"/>
          </w:tcPr>
          <w:p w14:paraId="142D56A2"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28,7</w:t>
            </w:r>
          </w:p>
        </w:tc>
      </w:tr>
    </w:tbl>
    <w:p w14:paraId="6F2DBB03" w14:textId="77777777" w:rsidR="005979D5" w:rsidRDefault="005979D5">
      <w:pPr>
        <w:pStyle w:val="ConsPlusNormal"/>
        <w:ind w:left="5103"/>
        <w:contextualSpacing/>
        <w:jc w:val="center"/>
        <w:rPr>
          <w:rFonts w:ascii="Times New Roman" w:hAnsi="Times New Roman" w:cs="Times New Roman"/>
          <w:sz w:val="28"/>
          <w:szCs w:val="28"/>
        </w:rPr>
        <w:sectPr w:rsidR="005979D5">
          <w:pgSz w:w="11906" w:h="16838"/>
          <w:pgMar w:top="1134" w:right="567" w:bottom="1134" w:left="1134" w:header="708" w:footer="708" w:gutter="0"/>
          <w:pgNumType w:start="1"/>
          <w:cols w:space="708"/>
          <w:titlePg/>
          <w:docGrid w:linePitch="360"/>
        </w:sectPr>
      </w:pPr>
      <w:bookmarkStart w:id="5" w:name="Приложение3"/>
      <w:bookmarkEnd w:id="5"/>
    </w:p>
    <w:p w14:paraId="486C5674"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7F3D7D6C"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к Методическим указаниям</w:t>
      </w:r>
    </w:p>
    <w:p w14:paraId="75019DE7"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по расчету вероятности отказа</w:t>
      </w:r>
    </w:p>
    <w:p w14:paraId="5A13A8EB"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функционального узла и единицы</w:t>
      </w:r>
    </w:p>
    <w:p w14:paraId="3F441EE8"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основного технологического</w:t>
      </w:r>
    </w:p>
    <w:p w14:paraId="33627476"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оборудования и оценки</w:t>
      </w:r>
    </w:p>
    <w:p w14:paraId="631AA5F6"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последствий такого отказа,</w:t>
      </w:r>
    </w:p>
    <w:p w14:paraId="105DB911"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утвержденным приказом</w:t>
      </w:r>
    </w:p>
    <w:p w14:paraId="76918DD3"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Минэнерго России</w:t>
      </w:r>
    </w:p>
    <w:p w14:paraId="48FAD0E3" w14:textId="4FFFBA1B"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от «__» ________ 2025 г. №</w:t>
      </w:r>
    </w:p>
    <w:p w14:paraId="592C6A68" w14:textId="77777777" w:rsidR="005979D5" w:rsidRDefault="005979D5">
      <w:pPr>
        <w:pStyle w:val="ConsPlusNormal"/>
        <w:spacing w:line="360" w:lineRule="auto"/>
        <w:ind w:firstLine="567"/>
        <w:contextualSpacing/>
        <w:jc w:val="right"/>
        <w:rPr>
          <w:rFonts w:ascii="Times New Roman" w:hAnsi="Times New Roman" w:cs="Times New Roman"/>
          <w:b/>
          <w:sz w:val="28"/>
          <w:szCs w:val="28"/>
        </w:rPr>
      </w:pPr>
    </w:p>
    <w:p w14:paraId="17FAFEBC" w14:textId="77777777" w:rsidR="005979D5" w:rsidRDefault="002B4D7C">
      <w:pPr>
        <w:pStyle w:val="ConsPlusNormal"/>
        <w:spacing w:line="360" w:lineRule="auto"/>
        <w:contextualSpacing/>
        <w:jc w:val="center"/>
        <w:rPr>
          <w:rFonts w:ascii="Times New Roman" w:hAnsi="Times New Roman" w:cs="Times New Roman"/>
          <w:sz w:val="28"/>
          <w:szCs w:val="28"/>
          <w:vertAlign w:val="subscript"/>
        </w:rPr>
      </w:pPr>
      <w:bookmarkStart w:id="6" w:name="Приложение4"/>
      <w:r>
        <w:rPr>
          <w:rFonts w:ascii="Times New Roman" w:hAnsi="Times New Roman" w:cs="Times New Roman"/>
          <w:sz w:val="28"/>
          <w:szCs w:val="28"/>
        </w:rPr>
        <w:t>Значения коэффициента k</w:t>
      </w:r>
      <w:r>
        <w:rPr>
          <w:rFonts w:ascii="Times New Roman" w:hAnsi="Times New Roman" w:cs="Times New Roman"/>
          <w:sz w:val="28"/>
          <w:szCs w:val="28"/>
          <w:vertAlign w:val="subscript"/>
        </w:rPr>
        <w:t>эк</w:t>
      </w:r>
      <w:bookmarkEnd w:id="6"/>
    </w:p>
    <w:tbl>
      <w:tblPr>
        <w:tblStyle w:val="TableGrid"/>
        <w:tblW w:w="0" w:type="auto"/>
        <w:tblLook w:val="04A0" w:firstRow="1" w:lastRow="0" w:firstColumn="1" w:lastColumn="0" w:noHBand="0" w:noVBand="1"/>
      </w:tblPr>
      <w:tblGrid>
        <w:gridCol w:w="700"/>
        <w:gridCol w:w="4757"/>
        <w:gridCol w:w="4738"/>
      </w:tblGrid>
      <w:tr w:rsidR="005979D5" w14:paraId="1EBDC415" w14:textId="77777777">
        <w:tc>
          <w:tcPr>
            <w:tcW w:w="700" w:type="dxa"/>
            <w:vAlign w:val="center"/>
          </w:tcPr>
          <w:p w14:paraId="130B3BCE"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п\п.</w:t>
            </w:r>
          </w:p>
        </w:tc>
        <w:tc>
          <w:tcPr>
            <w:tcW w:w="4757" w:type="dxa"/>
            <w:vAlign w:val="center"/>
          </w:tcPr>
          <w:p w14:paraId="31020895"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Основное технологическое оборудование и сооружения</w:t>
            </w:r>
          </w:p>
        </w:tc>
        <w:tc>
          <w:tcPr>
            <w:tcW w:w="4738" w:type="dxa"/>
            <w:vAlign w:val="center"/>
          </w:tcPr>
          <w:p w14:paraId="360FFF31"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Коэффициент k</w:t>
            </w:r>
            <w:r>
              <w:rPr>
                <w:rFonts w:ascii="Times New Roman" w:hAnsi="Times New Roman" w:cs="Times New Roman"/>
                <w:sz w:val="28"/>
                <w:szCs w:val="28"/>
                <w:vertAlign w:val="subscript"/>
              </w:rPr>
              <w:t>эк</w:t>
            </w:r>
          </w:p>
        </w:tc>
      </w:tr>
      <w:tr w:rsidR="005979D5" w14:paraId="2782F80B" w14:textId="77777777">
        <w:tc>
          <w:tcPr>
            <w:tcW w:w="700" w:type="dxa"/>
          </w:tcPr>
          <w:p w14:paraId="711825D4"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4757" w:type="dxa"/>
          </w:tcPr>
          <w:p w14:paraId="46702BCE"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Гидрогенераторы</w:t>
            </w:r>
          </w:p>
        </w:tc>
        <w:tc>
          <w:tcPr>
            <w:tcW w:w="4738" w:type="dxa"/>
          </w:tcPr>
          <w:p w14:paraId="584D45FE"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68,95</w:t>
            </w:r>
          </w:p>
        </w:tc>
      </w:tr>
      <w:tr w:rsidR="005979D5" w14:paraId="2FA97E3F" w14:textId="77777777">
        <w:tc>
          <w:tcPr>
            <w:tcW w:w="700" w:type="dxa"/>
          </w:tcPr>
          <w:p w14:paraId="66727E82"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4757" w:type="dxa"/>
          </w:tcPr>
          <w:p w14:paraId="516C2A20"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Гидротурбины</w:t>
            </w:r>
          </w:p>
        </w:tc>
        <w:tc>
          <w:tcPr>
            <w:tcW w:w="4738" w:type="dxa"/>
          </w:tcPr>
          <w:p w14:paraId="3D98F2DB"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66,85</w:t>
            </w:r>
          </w:p>
        </w:tc>
      </w:tr>
      <w:tr w:rsidR="005979D5" w14:paraId="347F5BF4" w14:textId="77777777">
        <w:tc>
          <w:tcPr>
            <w:tcW w:w="700" w:type="dxa"/>
          </w:tcPr>
          <w:p w14:paraId="145D03B1"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4757" w:type="dxa"/>
          </w:tcPr>
          <w:p w14:paraId="4F6357BF"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Паровые (энергетические) котлы</w:t>
            </w:r>
          </w:p>
        </w:tc>
        <w:tc>
          <w:tcPr>
            <w:tcW w:w="4738" w:type="dxa"/>
          </w:tcPr>
          <w:p w14:paraId="312A07F0"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50,05</w:t>
            </w:r>
          </w:p>
        </w:tc>
      </w:tr>
      <w:tr w:rsidR="005979D5" w14:paraId="60146A1E" w14:textId="77777777">
        <w:tc>
          <w:tcPr>
            <w:tcW w:w="700" w:type="dxa"/>
          </w:tcPr>
          <w:p w14:paraId="14F76A59"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4757" w:type="dxa"/>
          </w:tcPr>
          <w:p w14:paraId="72B78F7A"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Паровые турбины Х:</w:t>
            </w:r>
          </w:p>
        </w:tc>
        <w:tc>
          <w:tcPr>
            <w:tcW w:w="4738" w:type="dxa"/>
          </w:tcPr>
          <w:p w14:paraId="07082F8A" w14:textId="77777777" w:rsidR="005979D5" w:rsidRDefault="005979D5">
            <w:pPr>
              <w:pStyle w:val="ConsPlusNormal"/>
              <w:spacing w:line="360" w:lineRule="auto"/>
              <w:contextualSpacing/>
              <w:jc w:val="center"/>
              <w:rPr>
                <w:rFonts w:ascii="Times New Roman" w:hAnsi="Times New Roman" w:cs="Times New Roman"/>
                <w:sz w:val="28"/>
                <w:szCs w:val="28"/>
              </w:rPr>
            </w:pPr>
          </w:p>
        </w:tc>
      </w:tr>
      <w:tr w:rsidR="005979D5" w14:paraId="2D7C7E66" w14:textId="77777777">
        <w:tc>
          <w:tcPr>
            <w:tcW w:w="700" w:type="dxa"/>
          </w:tcPr>
          <w:p w14:paraId="0A37E874"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4.1.</w:t>
            </w:r>
          </w:p>
        </w:tc>
        <w:tc>
          <w:tcPr>
            <w:tcW w:w="4757" w:type="dxa"/>
          </w:tcPr>
          <w:p w14:paraId="1DDD5EAB"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конденсационные</w:t>
            </w:r>
          </w:p>
        </w:tc>
        <w:tc>
          <w:tcPr>
            <w:tcW w:w="4738" w:type="dxa"/>
          </w:tcPr>
          <w:p w14:paraId="50858642"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63,85</w:t>
            </w:r>
          </w:p>
        </w:tc>
      </w:tr>
      <w:tr w:rsidR="005979D5" w14:paraId="38BA0ED7" w14:textId="77777777">
        <w:tc>
          <w:tcPr>
            <w:tcW w:w="700" w:type="dxa"/>
          </w:tcPr>
          <w:p w14:paraId="1C09E287"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4.2.</w:t>
            </w:r>
          </w:p>
        </w:tc>
        <w:tc>
          <w:tcPr>
            <w:tcW w:w="4757" w:type="dxa"/>
          </w:tcPr>
          <w:p w14:paraId="424415DB"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 промотбором</w:t>
            </w:r>
          </w:p>
        </w:tc>
        <w:tc>
          <w:tcPr>
            <w:tcW w:w="4738" w:type="dxa"/>
          </w:tcPr>
          <w:p w14:paraId="490750F8"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41,45</w:t>
            </w:r>
          </w:p>
        </w:tc>
      </w:tr>
      <w:tr w:rsidR="005979D5" w14:paraId="68EA88BA" w14:textId="77777777">
        <w:tc>
          <w:tcPr>
            <w:tcW w:w="700" w:type="dxa"/>
          </w:tcPr>
          <w:p w14:paraId="54D8124A"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4.3.</w:t>
            </w:r>
          </w:p>
        </w:tc>
        <w:tc>
          <w:tcPr>
            <w:tcW w:w="4757" w:type="dxa"/>
          </w:tcPr>
          <w:p w14:paraId="004285F7"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 противодавлением</w:t>
            </w:r>
          </w:p>
        </w:tc>
        <w:tc>
          <w:tcPr>
            <w:tcW w:w="4738" w:type="dxa"/>
          </w:tcPr>
          <w:p w14:paraId="131A097C"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66,85</w:t>
            </w:r>
          </w:p>
        </w:tc>
      </w:tr>
      <w:tr w:rsidR="005979D5" w14:paraId="764798D5" w14:textId="77777777">
        <w:tc>
          <w:tcPr>
            <w:tcW w:w="700" w:type="dxa"/>
          </w:tcPr>
          <w:p w14:paraId="088C3600"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4.4.</w:t>
            </w:r>
          </w:p>
        </w:tc>
        <w:tc>
          <w:tcPr>
            <w:tcW w:w="4757" w:type="dxa"/>
          </w:tcPr>
          <w:p w14:paraId="06004F4F"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теплофикационные</w:t>
            </w:r>
          </w:p>
        </w:tc>
        <w:tc>
          <w:tcPr>
            <w:tcW w:w="4738" w:type="dxa"/>
          </w:tcPr>
          <w:p w14:paraId="54EF2ABE"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58,65</w:t>
            </w:r>
          </w:p>
        </w:tc>
      </w:tr>
      <w:tr w:rsidR="005979D5" w14:paraId="0D5CC293" w14:textId="77777777">
        <w:tc>
          <w:tcPr>
            <w:tcW w:w="700" w:type="dxa"/>
          </w:tcPr>
          <w:p w14:paraId="33BF0D1B"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4757" w:type="dxa"/>
          </w:tcPr>
          <w:p w14:paraId="436683AC"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Турбогенераторы</w:t>
            </w:r>
          </w:p>
        </w:tc>
        <w:tc>
          <w:tcPr>
            <w:tcW w:w="4738" w:type="dxa"/>
          </w:tcPr>
          <w:p w14:paraId="4ED64689"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69,85</w:t>
            </w:r>
          </w:p>
        </w:tc>
      </w:tr>
      <w:tr w:rsidR="005979D5" w14:paraId="40CF2EDA" w14:textId="77777777">
        <w:tc>
          <w:tcPr>
            <w:tcW w:w="700" w:type="dxa"/>
          </w:tcPr>
          <w:p w14:paraId="3AA13BD9"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6.</w:t>
            </w:r>
          </w:p>
        </w:tc>
        <w:tc>
          <w:tcPr>
            <w:tcW w:w="4757" w:type="dxa"/>
          </w:tcPr>
          <w:p w14:paraId="5681C162"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Силовые (авто-)трансформаторы</w:t>
            </w:r>
          </w:p>
        </w:tc>
        <w:tc>
          <w:tcPr>
            <w:tcW w:w="4738" w:type="dxa"/>
          </w:tcPr>
          <w:p w14:paraId="4AE4A65E"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35</w:t>
            </w:r>
          </w:p>
        </w:tc>
      </w:tr>
      <w:tr w:rsidR="005979D5" w14:paraId="26ACC4B7" w14:textId="77777777">
        <w:tc>
          <w:tcPr>
            <w:tcW w:w="700" w:type="dxa"/>
            <w:shd w:val="clear" w:color="auto" w:fill="auto"/>
          </w:tcPr>
          <w:p w14:paraId="67453EB4"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4757" w:type="dxa"/>
            <w:shd w:val="clear" w:color="auto" w:fill="auto"/>
          </w:tcPr>
          <w:p w14:paraId="6683739A" w14:textId="77777777" w:rsidR="005979D5" w:rsidRDefault="002B4D7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Газовые турбины</w:t>
            </w:r>
          </w:p>
        </w:tc>
        <w:tc>
          <w:tcPr>
            <w:tcW w:w="4738" w:type="dxa"/>
            <w:shd w:val="clear" w:color="auto" w:fill="auto"/>
          </w:tcPr>
          <w:p w14:paraId="5BF6D095" w14:textId="77777777" w:rsidR="005979D5" w:rsidRDefault="002B4D7C">
            <w:pPr>
              <w:pStyle w:val="ConsPlusNormal"/>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60</w:t>
            </w:r>
          </w:p>
        </w:tc>
      </w:tr>
    </w:tbl>
    <w:p w14:paraId="4D035920" w14:textId="77777777" w:rsidR="005979D5" w:rsidRDefault="005979D5">
      <w:pPr>
        <w:rPr>
          <w:rFonts w:ascii="Times New Roman" w:hAnsi="Times New Roman" w:cs="Times New Roman"/>
          <w:sz w:val="28"/>
          <w:szCs w:val="28"/>
        </w:rPr>
        <w:sectPr w:rsidR="005979D5">
          <w:pgSz w:w="11906" w:h="16838"/>
          <w:pgMar w:top="1134" w:right="567" w:bottom="1134" w:left="1134" w:header="708" w:footer="708" w:gutter="0"/>
          <w:pgNumType w:start="1"/>
          <w:cols w:space="708"/>
          <w:titlePg/>
          <w:docGrid w:linePitch="360"/>
        </w:sectPr>
      </w:pPr>
    </w:p>
    <w:p w14:paraId="147F06C1" w14:textId="77777777" w:rsidR="005979D5" w:rsidRDefault="002B4D7C">
      <w:pPr>
        <w:spacing w:after="0" w:line="240" w:lineRule="auto"/>
        <w:ind w:right="141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6832E3B1"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к Методическим указаниям</w:t>
      </w:r>
    </w:p>
    <w:p w14:paraId="0355E561"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по расчету вероятности отказа</w:t>
      </w:r>
    </w:p>
    <w:p w14:paraId="114D792E"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функционального узла и единицы</w:t>
      </w:r>
    </w:p>
    <w:p w14:paraId="642EA35D"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основного технологического</w:t>
      </w:r>
    </w:p>
    <w:p w14:paraId="6C3E15D4"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оборудования и оценки</w:t>
      </w:r>
    </w:p>
    <w:p w14:paraId="24D84733"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последствий такого отказа,</w:t>
      </w:r>
    </w:p>
    <w:p w14:paraId="183039A2"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утвержденным приказом</w:t>
      </w:r>
    </w:p>
    <w:p w14:paraId="0D1FC7FB" w14:textId="77777777"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Минэнерго России</w:t>
      </w:r>
    </w:p>
    <w:p w14:paraId="1747B0A4" w14:textId="3B793E2D" w:rsidR="005979D5" w:rsidRDefault="002B4D7C">
      <w:pPr>
        <w:pStyle w:val="ConsPlusNormal"/>
        <w:ind w:left="5103"/>
        <w:contextualSpacing/>
        <w:jc w:val="center"/>
        <w:rPr>
          <w:rFonts w:ascii="Times New Roman" w:hAnsi="Times New Roman" w:cs="Times New Roman"/>
          <w:sz w:val="28"/>
          <w:szCs w:val="28"/>
        </w:rPr>
      </w:pPr>
      <w:r>
        <w:rPr>
          <w:rFonts w:ascii="Times New Roman" w:hAnsi="Times New Roman" w:cs="Times New Roman"/>
          <w:sz w:val="28"/>
          <w:szCs w:val="28"/>
        </w:rPr>
        <w:t>от «__» ________ 2025 г. №</w:t>
      </w:r>
    </w:p>
    <w:p w14:paraId="34504FDB" w14:textId="77777777" w:rsidR="005979D5" w:rsidRDefault="005979D5">
      <w:pPr>
        <w:pStyle w:val="ConsPlusNormal"/>
        <w:spacing w:line="360" w:lineRule="auto"/>
        <w:ind w:firstLine="567"/>
        <w:contextualSpacing/>
        <w:jc w:val="right"/>
        <w:rPr>
          <w:rFonts w:ascii="Times New Roman" w:hAnsi="Times New Roman" w:cs="Times New Roman"/>
          <w:sz w:val="28"/>
          <w:szCs w:val="28"/>
        </w:rPr>
      </w:pPr>
    </w:p>
    <w:p w14:paraId="08145AF4" w14:textId="77777777" w:rsidR="005979D5" w:rsidRDefault="002B4D7C">
      <w:pPr>
        <w:pStyle w:val="ConsPlusTitle"/>
        <w:contextualSpacing/>
        <w:jc w:val="center"/>
        <w:outlineLvl w:val="0"/>
        <w:rPr>
          <w:rFonts w:ascii="Times New Roman" w:hAnsi="Times New Roman" w:cs="Times New Roman"/>
          <w:b w:val="0"/>
          <w:bCs/>
          <w:sz w:val="28"/>
          <w:szCs w:val="28"/>
        </w:rPr>
      </w:pPr>
      <w:r>
        <w:rPr>
          <w:rFonts w:ascii="Times New Roman" w:hAnsi="Times New Roman" w:cs="Times New Roman"/>
          <w:b w:val="0"/>
          <w:bCs/>
          <w:sz w:val="28"/>
          <w:szCs w:val="28"/>
        </w:rPr>
        <w:t xml:space="preserve">Ресурсоопределяющие функциональные узлы единиц основного </w:t>
      </w:r>
      <w:r>
        <w:rPr>
          <w:rFonts w:ascii="Times New Roman" w:hAnsi="Times New Roman" w:cs="Times New Roman"/>
          <w:b w:val="0"/>
          <w:bCs/>
          <w:sz w:val="28"/>
          <w:szCs w:val="28"/>
        </w:rPr>
        <w:br/>
        <w:t>технологического оборудования</w:t>
      </w:r>
    </w:p>
    <w:tbl>
      <w:tblPr>
        <w:tblStyle w:val="TableGrid"/>
        <w:tblW w:w="10065" w:type="dxa"/>
        <w:tblInd w:w="-147" w:type="dxa"/>
        <w:tblLook w:val="04A0" w:firstRow="1" w:lastRow="0" w:firstColumn="1" w:lastColumn="0" w:noHBand="0" w:noVBand="1"/>
      </w:tblPr>
      <w:tblGrid>
        <w:gridCol w:w="741"/>
        <w:gridCol w:w="4109"/>
        <w:gridCol w:w="5215"/>
      </w:tblGrid>
      <w:tr w:rsidR="005979D5" w14:paraId="5A7E3BBD" w14:textId="77777777">
        <w:tc>
          <w:tcPr>
            <w:tcW w:w="741" w:type="dxa"/>
          </w:tcPr>
          <w:p w14:paraId="0FF206AE"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п/п</w:t>
            </w:r>
          </w:p>
        </w:tc>
        <w:tc>
          <w:tcPr>
            <w:tcW w:w="4109" w:type="dxa"/>
            <w:vAlign w:val="center"/>
          </w:tcPr>
          <w:p w14:paraId="52F6F1FD" w14:textId="77777777" w:rsidR="005979D5" w:rsidRDefault="002B4D7C">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Вид основного технологического оборудования</w:t>
            </w:r>
          </w:p>
        </w:tc>
        <w:tc>
          <w:tcPr>
            <w:tcW w:w="5215" w:type="dxa"/>
            <w:vAlign w:val="center"/>
          </w:tcPr>
          <w:p w14:paraId="66AE5A43" w14:textId="77777777" w:rsidR="005979D5" w:rsidRDefault="002B4D7C">
            <w:pPr>
              <w:pStyle w:val="ConsPlusNormal"/>
              <w:ind w:right="738"/>
              <w:contextualSpacing/>
              <w:jc w:val="center"/>
              <w:rPr>
                <w:rFonts w:ascii="Times New Roman" w:hAnsi="Times New Roman" w:cs="Times New Roman"/>
                <w:sz w:val="28"/>
                <w:szCs w:val="28"/>
              </w:rPr>
            </w:pPr>
            <w:r>
              <w:rPr>
                <w:rFonts w:ascii="Times New Roman" w:hAnsi="Times New Roman" w:cs="Times New Roman"/>
                <w:sz w:val="28"/>
                <w:szCs w:val="28"/>
              </w:rPr>
              <w:t xml:space="preserve">Ресурсоопределяющий </w:t>
            </w:r>
          </w:p>
          <w:p w14:paraId="49C9B6FF" w14:textId="77777777" w:rsidR="005979D5" w:rsidRDefault="002B4D7C">
            <w:pPr>
              <w:pStyle w:val="ConsPlusNormal"/>
              <w:ind w:right="738"/>
              <w:contextualSpacing/>
              <w:jc w:val="center"/>
              <w:rPr>
                <w:rFonts w:ascii="Times New Roman" w:hAnsi="Times New Roman" w:cs="Times New Roman"/>
                <w:sz w:val="28"/>
                <w:szCs w:val="28"/>
              </w:rPr>
            </w:pPr>
            <w:r>
              <w:rPr>
                <w:rFonts w:ascii="Times New Roman" w:hAnsi="Times New Roman" w:cs="Times New Roman"/>
                <w:sz w:val="28"/>
                <w:szCs w:val="28"/>
              </w:rPr>
              <w:t>функциональный узел</w:t>
            </w:r>
          </w:p>
        </w:tc>
      </w:tr>
      <w:tr w:rsidR="005979D5" w14:paraId="57803E9C" w14:textId="77777777">
        <w:tc>
          <w:tcPr>
            <w:tcW w:w="741" w:type="dxa"/>
          </w:tcPr>
          <w:p w14:paraId="37C6991A"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4109" w:type="dxa"/>
            <w:vMerge w:val="restart"/>
          </w:tcPr>
          <w:p w14:paraId="58EC534F"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Гидрогенератор</w:t>
            </w:r>
          </w:p>
        </w:tc>
        <w:tc>
          <w:tcPr>
            <w:tcW w:w="5215" w:type="dxa"/>
          </w:tcPr>
          <w:p w14:paraId="7D44E7DF"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Сталь ротора</w:t>
            </w:r>
          </w:p>
        </w:tc>
      </w:tr>
      <w:tr w:rsidR="005979D5" w14:paraId="15479130" w14:textId="77777777">
        <w:tc>
          <w:tcPr>
            <w:tcW w:w="741" w:type="dxa"/>
          </w:tcPr>
          <w:p w14:paraId="6DEED663"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4109" w:type="dxa"/>
            <w:vMerge/>
          </w:tcPr>
          <w:p w14:paraId="7EA38D7F" w14:textId="77777777" w:rsidR="005979D5" w:rsidRDefault="005979D5">
            <w:pPr>
              <w:spacing w:line="360" w:lineRule="auto"/>
              <w:contextualSpacing/>
              <w:rPr>
                <w:rFonts w:ascii="Times New Roman" w:hAnsi="Times New Roman" w:cs="Times New Roman"/>
                <w:sz w:val="28"/>
                <w:szCs w:val="28"/>
              </w:rPr>
            </w:pPr>
          </w:p>
        </w:tc>
        <w:tc>
          <w:tcPr>
            <w:tcW w:w="5215" w:type="dxa"/>
          </w:tcPr>
          <w:p w14:paraId="637832F3"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Сталь статора</w:t>
            </w:r>
          </w:p>
        </w:tc>
      </w:tr>
      <w:tr w:rsidR="005979D5" w14:paraId="7DBFDFBF" w14:textId="77777777">
        <w:tc>
          <w:tcPr>
            <w:tcW w:w="741" w:type="dxa"/>
          </w:tcPr>
          <w:p w14:paraId="75998A0B"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4109" w:type="dxa"/>
            <w:vMerge w:val="restart"/>
          </w:tcPr>
          <w:p w14:paraId="1E51BD43"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Гидротурбина</w:t>
            </w:r>
          </w:p>
        </w:tc>
        <w:tc>
          <w:tcPr>
            <w:tcW w:w="5215" w:type="dxa"/>
          </w:tcPr>
          <w:p w14:paraId="40D67128"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Рабочее колесо</w:t>
            </w:r>
          </w:p>
        </w:tc>
      </w:tr>
      <w:tr w:rsidR="005979D5" w14:paraId="3FCF1B9F" w14:textId="77777777">
        <w:tc>
          <w:tcPr>
            <w:tcW w:w="741" w:type="dxa"/>
          </w:tcPr>
          <w:p w14:paraId="44F7A8E2"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4109" w:type="dxa"/>
            <w:vMerge/>
          </w:tcPr>
          <w:p w14:paraId="6C16C1BD" w14:textId="77777777" w:rsidR="005979D5" w:rsidRDefault="005979D5">
            <w:pPr>
              <w:spacing w:line="360" w:lineRule="auto"/>
              <w:contextualSpacing/>
              <w:rPr>
                <w:rFonts w:ascii="Times New Roman" w:hAnsi="Times New Roman" w:cs="Times New Roman"/>
                <w:sz w:val="28"/>
                <w:szCs w:val="28"/>
              </w:rPr>
            </w:pPr>
          </w:p>
        </w:tc>
        <w:tc>
          <w:tcPr>
            <w:tcW w:w="5215" w:type="dxa"/>
          </w:tcPr>
          <w:p w14:paraId="40134F1E"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Проточная часть</w:t>
            </w:r>
          </w:p>
        </w:tc>
      </w:tr>
      <w:tr w:rsidR="005979D5" w14:paraId="1168493B" w14:textId="77777777">
        <w:tc>
          <w:tcPr>
            <w:tcW w:w="741" w:type="dxa"/>
          </w:tcPr>
          <w:p w14:paraId="076387EB"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5.</w:t>
            </w:r>
          </w:p>
        </w:tc>
        <w:tc>
          <w:tcPr>
            <w:tcW w:w="4109" w:type="dxa"/>
            <w:vMerge w:val="restart"/>
          </w:tcPr>
          <w:p w14:paraId="1061FE18"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Паровая турбина</w:t>
            </w:r>
          </w:p>
        </w:tc>
        <w:tc>
          <w:tcPr>
            <w:tcW w:w="5215" w:type="dxa"/>
          </w:tcPr>
          <w:p w14:paraId="1A5D8948"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Корпус цилиндра</w:t>
            </w:r>
          </w:p>
        </w:tc>
      </w:tr>
      <w:tr w:rsidR="005979D5" w14:paraId="65CBEB6D" w14:textId="77777777">
        <w:tc>
          <w:tcPr>
            <w:tcW w:w="741" w:type="dxa"/>
          </w:tcPr>
          <w:p w14:paraId="68CE0724"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6.</w:t>
            </w:r>
          </w:p>
        </w:tc>
        <w:tc>
          <w:tcPr>
            <w:tcW w:w="4109" w:type="dxa"/>
            <w:vMerge/>
          </w:tcPr>
          <w:p w14:paraId="42F4DE73" w14:textId="77777777" w:rsidR="005979D5" w:rsidRDefault="005979D5">
            <w:pPr>
              <w:spacing w:line="360" w:lineRule="auto"/>
              <w:contextualSpacing/>
              <w:rPr>
                <w:rFonts w:ascii="Times New Roman" w:hAnsi="Times New Roman" w:cs="Times New Roman"/>
                <w:sz w:val="28"/>
                <w:szCs w:val="28"/>
              </w:rPr>
            </w:pPr>
          </w:p>
        </w:tc>
        <w:tc>
          <w:tcPr>
            <w:tcW w:w="5215" w:type="dxa"/>
          </w:tcPr>
          <w:p w14:paraId="4706AA9C"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Ротор турбины</w:t>
            </w:r>
          </w:p>
        </w:tc>
      </w:tr>
      <w:tr w:rsidR="005979D5" w14:paraId="01165A85" w14:textId="77777777">
        <w:tc>
          <w:tcPr>
            <w:tcW w:w="741" w:type="dxa"/>
          </w:tcPr>
          <w:p w14:paraId="5B139CBF"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7.</w:t>
            </w:r>
          </w:p>
        </w:tc>
        <w:tc>
          <w:tcPr>
            <w:tcW w:w="4109" w:type="dxa"/>
            <w:vMerge w:val="restart"/>
          </w:tcPr>
          <w:p w14:paraId="1A7137A9"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Паровой (энергетический) котел</w:t>
            </w:r>
          </w:p>
        </w:tc>
        <w:tc>
          <w:tcPr>
            <w:tcW w:w="5215" w:type="dxa"/>
          </w:tcPr>
          <w:p w14:paraId="047113EF"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Барабан</w:t>
            </w:r>
          </w:p>
        </w:tc>
      </w:tr>
      <w:tr w:rsidR="005979D5" w14:paraId="05E93D20" w14:textId="77777777">
        <w:tc>
          <w:tcPr>
            <w:tcW w:w="741" w:type="dxa"/>
          </w:tcPr>
          <w:p w14:paraId="519B579D"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8.</w:t>
            </w:r>
          </w:p>
        </w:tc>
        <w:tc>
          <w:tcPr>
            <w:tcW w:w="4109" w:type="dxa"/>
            <w:vMerge/>
          </w:tcPr>
          <w:p w14:paraId="4F7CFDD3" w14:textId="77777777" w:rsidR="005979D5" w:rsidRDefault="005979D5">
            <w:pPr>
              <w:spacing w:line="360" w:lineRule="auto"/>
              <w:contextualSpacing/>
              <w:rPr>
                <w:rFonts w:ascii="Times New Roman" w:hAnsi="Times New Roman" w:cs="Times New Roman"/>
                <w:sz w:val="28"/>
                <w:szCs w:val="28"/>
              </w:rPr>
            </w:pPr>
          </w:p>
        </w:tc>
        <w:tc>
          <w:tcPr>
            <w:tcW w:w="5215" w:type="dxa"/>
          </w:tcPr>
          <w:p w14:paraId="09225A27"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Каркас, обмуровка котла и газоходы</w:t>
            </w:r>
          </w:p>
        </w:tc>
      </w:tr>
      <w:tr w:rsidR="005979D5" w14:paraId="1C4721D3" w14:textId="77777777">
        <w:tc>
          <w:tcPr>
            <w:tcW w:w="741" w:type="dxa"/>
          </w:tcPr>
          <w:p w14:paraId="5FDA9584"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9.</w:t>
            </w:r>
          </w:p>
        </w:tc>
        <w:tc>
          <w:tcPr>
            <w:tcW w:w="4109" w:type="dxa"/>
            <w:vMerge w:val="restart"/>
          </w:tcPr>
          <w:p w14:paraId="5FA6DF30"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Силовой (авто-) трансформатор</w:t>
            </w:r>
          </w:p>
        </w:tc>
        <w:tc>
          <w:tcPr>
            <w:tcW w:w="5215" w:type="dxa"/>
          </w:tcPr>
          <w:p w14:paraId="1FCD2668"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Магнитопровод</w:t>
            </w:r>
          </w:p>
        </w:tc>
      </w:tr>
      <w:tr w:rsidR="005979D5" w14:paraId="3096385A" w14:textId="77777777">
        <w:tc>
          <w:tcPr>
            <w:tcW w:w="741" w:type="dxa"/>
          </w:tcPr>
          <w:p w14:paraId="6FE95E69"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10.</w:t>
            </w:r>
          </w:p>
        </w:tc>
        <w:tc>
          <w:tcPr>
            <w:tcW w:w="4109" w:type="dxa"/>
            <w:vMerge/>
          </w:tcPr>
          <w:p w14:paraId="66D7DC47" w14:textId="77777777" w:rsidR="005979D5" w:rsidRDefault="005979D5">
            <w:pPr>
              <w:spacing w:line="360" w:lineRule="auto"/>
              <w:contextualSpacing/>
              <w:rPr>
                <w:rFonts w:ascii="Times New Roman" w:hAnsi="Times New Roman" w:cs="Times New Roman"/>
                <w:sz w:val="28"/>
                <w:szCs w:val="28"/>
              </w:rPr>
            </w:pPr>
          </w:p>
        </w:tc>
        <w:tc>
          <w:tcPr>
            <w:tcW w:w="5215" w:type="dxa"/>
          </w:tcPr>
          <w:p w14:paraId="022A6CA2"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Обмотки трансформатора</w:t>
            </w:r>
          </w:p>
        </w:tc>
      </w:tr>
      <w:tr w:rsidR="005979D5" w14:paraId="00BA28AD" w14:textId="77777777">
        <w:tc>
          <w:tcPr>
            <w:tcW w:w="741" w:type="dxa"/>
          </w:tcPr>
          <w:p w14:paraId="0DFCA2B4"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11.</w:t>
            </w:r>
          </w:p>
        </w:tc>
        <w:tc>
          <w:tcPr>
            <w:tcW w:w="4109" w:type="dxa"/>
            <w:vMerge w:val="restart"/>
          </w:tcPr>
          <w:p w14:paraId="2FFA7AE1"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Турбогенератор</w:t>
            </w:r>
          </w:p>
        </w:tc>
        <w:tc>
          <w:tcPr>
            <w:tcW w:w="5215" w:type="dxa"/>
          </w:tcPr>
          <w:p w14:paraId="3748D903"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Сталь ротора</w:t>
            </w:r>
          </w:p>
        </w:tc>
      </w:tr>
      <w:tr w:rsidR="005979D5" w14:paraId="76F5A05B" w14:textId="77777777">
        <w:tc>
          <w:tcPr>
            <w:tcW w:w="741" w:type="dxa"/>
          </w:tcPr>
          <w:p w14:paraId="00B72D7F"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12.</w:t>
            </w:r>
          </w:p>
        </w:tc>
        <w:tc>
          <w:tcPr>
            <w:tcW w:w="4109" w:type="dxa"/>
            <w:vMerge/>
          </w:tcPr>
          <w:p w14:paraId="0E5920E8" w14:textId="77777777" w:rsidR="005979D5" w:rsidRDefault="005979D5">
            <w:pPr>
              <w:spacing w:line="360" w:lineRule="auto"/>
              <w:ind w:firstLine="567"/>
              <w:contextualSpacing/>
              <w:rPr>
                <w:rFonts w:ascii="Times New Roman" w:hAnsi="Times New Roman" w:cs="Times New Roman"/>
                <w:sz w:val="28"/>
                <w:szCs w:val="28"/>
              </w:rPr>
            </w:pPr>
          </w:p>
        </w:tc>
        <w:tc>
          <w:tcPr>
            <w:tcW w:w="5215" w:type="dxa"/>
          </w:tcPr>
          <w:p w14:paraId="0C501300" w14:textId="77777777" w:rsidR="005979D5" w:rsidRDefault="002B4D7C">
            <w:pPr>
              <w:pStyle w:val="ConsPlusNormal"/>
              <w:spacing w:line="360" w:lineRule="auto"/>
              <w:contextualSpacing/>
              <w:rPr>
                <w:rFonts w:ascii="Times New Roman" w:hAnsi="Times New Roman" w:cs="Times New Roman"/>
                <w:sz w:val="28"/>
                <w:szCs w:val="28"/>
              </w:rPr>
            </w:pPr>
            <w:r>
              <w:rPr>
                <w:rFonts w:ascii="Times New Roman" w:hAnsi="Times New Roman" w:cs="Times New Roman"/>
                <w:sz w:val="28"/>
                <w:szCs w:val="28"/>
              </w:rPr>
              <w:t>Сталь статора</w:t>
            </w:r>
          </w:p>
        </w:tc>
      </w:tr>
    </w:tbl>
    <w:p w14:paraId="4815B1D7" w14:textId="77777777" w:rsidR="005979D5" w:rsidRDefault="005979D5">
      <w:pPr>
        <w:widowControl w:val="0"/>
        <w:spacing w:after="0" w:line="240" w:lineRule="auto"/>
        <w:rPr>
          <w:rFonts w:ascii="Times New Roman" w:hAnsi="Times New Roman"/>
          <w:sz w:val="28"/>
          <w:szCs w:val="28"/>
        </w:rPr>
      </w:pPr>
    </w:p>
    <w:sectPr w:rsidR="005979D5">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F6D1" w16cex:dateUtc="2025-07-17T19:25:00Z"/>
  <w16cex:commentExtensible w16cex:durableId="2C23F1D1" w16cex:dateUtc="2025-07-17T19:04:00Z"/>
  <w16cex:commentExtensible w16cex:durableId="66CA0903" w16cex:dateUtc="2025-07-17T05:52:00Z"/>
  <w16cex:commentExtensible w16cex:durableId="2C23F728" w16cex:dateUtc="2025-07-17T19:26:00Z"/>
  <w16cex:commentExtensible w16cex:durableId="74B6089F" w16cex:dateUtc="2025-07-17T05:54:00Z"/>
  <w16cex:commentExtensible w16cex:durableId="45F71F6C" w16cex:dateUtc="2025-07-17T05:58:00Z"/>
  <w16cex:commentExtensible w16cex:durableId="41495FF0" w16cex:dateUtc="2025-07-17T06:00:00Z"/>
  <w16cex:commentExtensible w16cex:durableId="0C6F56E9" w16cex:dateUtc="2025-07-17T06:03:00Z"/>
  <w16cex:commentExtensible w16cex:durableId="39C82E08" w16cex:dateUtc="2025-07-17T06:03:00Z"/>
  <w16cex:commentExtensible w16cex:durableId="2C23F7C1" w16cex:dateUtc="2025-07-17T19:29:00Z"/>
  <w16cex:commentExtensible w16cex:durableId="3BD18B6E" w16cex:dateUtc="2025-07-17T07:58:00Z"/>
  <w16cex:commentExtensible w16cex:durableId="684A2756" w16cex:dateUtc="2025-07-17T07:58:00Z"/>
  <w16cex:commentExtensible w16cex:durableId="2D7BC5FD" w16cex:dateUtc="2025-07-17T07:58:00Z"/>
  <w16cex:commentExtensible w16cex:durableId="5E786736" w16cex:dateUtc="2025-07-17T07:59:00Z"/>
  <w16cex:commentExtensible w16cex:durableId="2C23F7F6" w16cex:dateUtc="2025-07-17T19:30:00Z"/>
  <w16cex:commentExtensible w16cex:durableId="10D767C7" w16cex:dateUtc="2025-07-17T07:59:00Z"/>
  <w16cex:commentExtensible w16cex:durableId="6E433041" w16cex:dateUtc="2025-07-17T07:59:00Z"/>
  <w16cex:commentExtensible w16cex:durableId="57399853" w16cex:dateUtc="2025-07-17T07:59:00Z"/>
  <w16cex:commentExtensible w16cex:durableId="144F0E5A" w16cex:dateUtc="2025-07-17T07:59:00Z"/>
  <w16cex:commentExtensible w16cex:durableId="2416B9CE" w16cex:dateUtc="2025-07-17T07:59:00Z"/>
  <w16cex:commentExtensible w16cex:durableId="03D8A067" w16cex:dateUtc="2025-07-17T08:00:00Z"/>
  <w16cex:commentExtensible w16cex:durableId="1374C469" w16cex:dateUtc="2025-07-17T08:00:00Z"/>
  <w16cex:commentExtensible w16cex:durableId="6A13F539" w16cex:dateUtc="2025-07-17T06:15:00Z"/>
  <w16cex:commentExtensible w16cex:durableId="137B2A07" w16cex:dateUtc="2025-07-17T08:00:00Z"/>
  <w16cex:commentExtensible w16cex:durableId="12FAD825" w16cex:dateUtc="2025-07-17T08:00:00Z"/>
  <w16cex:commentExtensible w16cex:durableId="3D3D2879" w16cex:dateUtc="2025-07-17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4110E8" w16cid:durableId="2C23F6D1"/>
  <w16cid:commentId w16cid:paraId="24FA6275" w16cid:durableId="2C23F1D1"/>
  <w16cid:commentId w16cid:paraId="00000015" w16cid:durableId="66CA0903"/>
  <w16cid:commentId w16cid:paraId="0E4CFA70" w16cid:durableId="2C23F728"/>
  <w16cid:commentId w16cid:paraId="00000014" w16cid:durableId="74B6089F"/>
  <w16cid:commentId w16cid:paraId="00000013" w16cid:durableId="45F71F6C"/>
  <w16cid:commentId w16cid:paraId="00000012" w16cid:durableId="41495FF0"/>
  <w16cid:commentId w16cid:paraId="00000011" w16cid:durableId="0C6F56E9"/>
  <w16cid:commentId w16cid:paraId="00000010" w16cid:durableId="39C82E08"/>
  <w16cid:commentId w16cid:paraId="0EA3E5B1" w16cid:durableId="2C23F7C1"/>
  <w16cid:commentId w16cid:paraId="0000000E" w16cid:durableId="3BD18B6E"/>
  <w16cid:commentId w16cid:paraId="0000000D" w16cid:durableId="684A2756"/>
  <w16cid:commentId w16cid:paraId="0000000C" w16cid:durableId="2D7BC5FD"/>
  <w16cid:commentId w16cid:paraId="0000000B" w16cid:durableId="5E786736"/>
  <w16cid:commentId w16cid:paraId="0C124416" w16cid:durableId="2C23F7F6"/>
  <w16cid:commentId w16cid:paraId="0000000A" w16cid:durableId="10D767C7"/>
  <w16cid:commentId w16cid:paraId="00000009" w16cid:durableId="6E433041"/>
  <w16cid:commentId w16cid:paraId="00000008" w16cid:durableId="57399853"/>
  <w16cid:commentId w16cid:paraId="00000007" w16cid:durableId="144F0E5A"/>
  <w16cid:commentId w16cid:paraId="00000006" w16cid:durableId="2416B9CE"/>
  <w16cid:commentId w16cid:paraId="00000005" w16cid:durableId="03D8A067"/>
  <w16cid:commentId w16cid:paraId="00000004" w16cid:durableId="1374C469"/>
  <w16cid:commentId w16cid:paraId="0000000F" w16cid:durableId="6A13F539"/>
  <w16cid:commentId w16cid:paraId="00000003" w16cid:durableId="137B2A07"/>
  <w16cid:commentId w16cid:paraId="00000002" w16cid:durableId="12FAD825"/>
  <w16cid:commentId w16cid:paraId="00000001" w16cid:durableId="3D3D287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8E9D4" w14:textId="77777777" w:rsidR="00676BB9" w:rsidRDefault="00676BB9">
      <w:pPr>
        <w:spacing w:after="0" w:line="240" w:lineRule="auto"/>
      </w:pPr>
      <w:r>
        <w:separator/>
      </w:r>
    </w:p>
  </w:endnote>
  <w:endnote w:type="continuationSeparator" w:id="0">
    <w:p w14:paraId="0D5AC8A6" w14:textId="77777777" w:rsidR="00676BB9" w:rsidRDefault="0067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002C" w14:textId="77777777" w:rsidR="007A7943" w:rsidRDefault="007A7943">
    <w:pPr>
      <w:pStyle w:val="Footer"/>
      <w:widowControl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A520B" w14:textId="77777777" w:rsidR="00676BB9" w:rsidRDefault="00676BB9">
      <w:pPr>
        <w:spacing w:after="0" w:line="240" w:lineRule="auto"/>
      </w:pPr>
      <w:r>
        <w:separator/>
      </w:r>
    </w:p>
  </w:footnote>
  <w:footnote w:type="continuationSeparator" w:id="0">
    <w:p w14:paraId="5503B745" w14:textId="77777777" w:rsidR="00676BB9" w:rsidRDefault="00676BB9">
      <w:pPr>
        <w:spacing w:after="0" w:line="240" w:lineRule="auto"/>
      </w:pPr>
      <w:r>
        <w:continuationSeparator/>
      </w:r>
    </w:p>
  </w:footnote>
  <w:footnote w:id="1">
    <w:p w14:paraId="39FA2B9B" w14:textId="77777777" w:rsidR="007A7943" w:rsidRDefault="007A794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Зарегистрирован Минюстом России 4 апреля 2019 г., регистрационный № 54277.</w:t>
      </w:r>
    </w:p>
  </w:footnote>
  <w:footnote w:id="2">
    <w:p w14:paraId="4D67A36A" w14:textId="77777777" w:rsidR="007A7943" w:rsidRDefault="007A7943">
      <w:pPr>
        <w:pStyle w:val="FootnoteText"/>
        <w:jc w:val="both"/>
      </w:pPr>
      <w:r>
        <w:rPr>
          <w:rStyle w:val="FootnoteReference"/>
        </w:rPr>
        <w:footnoteRef/>
      </w:r>
      <w:r>
        <w:t xml:space="preserve"> </w:t>
      </w:r>
      <w:r>
        <w:rPr>
          <w:rFonts w:ascii="Times New Roman" w:eastAsia="Calibri" w:hAnsi="Times New Roman" w:cs="Times New Roman"/>
        </w:rPr>
        <w:t>Зарегистрирован Минюстом России 5 октября 2017 г., регистрационный № 48429, с изменениями, внесенными приказом Минэнерго России от 17 марта 2020 г. № 192 (зарегистрирован Минюстом России 18 мая 2020 г., регистрационный № 58367).</w:t>
      </w:r>
    </w:p>
  </w:footnote>
  <w:footnote w:id="3">
    <w:p w14:paraId="1BF4E5A3" w14:textId="7448051C" w:rsidR="007A7943" w:rsidRDefault="007A7943">
      <w:pPr>
        <w:pStyle w:val="ConsPlusNormal"/>
        <w:jc w:val="both"/>
        <w:outlineLvl w:val="0"/>
      </w:pPr>
      <w:r>
        <w:rPr>
          <w:rStyle w:val="FootnoteReference"/>
        </w:rPr>
        <w:footnoteRef/>
      </w:r>
      <w:r>
        <w:t xml:space="preserve"> </w:t>
      </w:r>
      <w:r>
        <w:rPr>
          <w:rFonts w:ascii="Times New Roman" w:eastAsia="Calibri" w:hAnsi="Times New Roman" w:cs="Times New Roman"/>
          <w:sz w:val="20"/>
        </w:rPr>
        <w:t>Зарегистрирован Минюстом России</w:t>
      </w:r>
      <w:r w:rsidR="00124360">
        <w:rPr>
          <w:rFonts w:ascii="Times New Roman" w:eastAsia="Calibri" w:hAnsi="Times New Roman" w:cs="Times New Roman"/>
          <w:sz w:val="20"/>
        </w:rPr>
        <w:t xml:space="preserve"> _________</w:t>
      </w:r>
      <w:r>
        <w:rPr>
          <w:rFonts w:ascii="Times New Roman" w:eastAsia="Calibri" w:hAnsi="Times New Roman" w:cs="Times New Roman"/>
          <w:sz w:val="20"/>
        </w:rPr>
        <w:t xml:space="preserve">, регистрационный № </w:t>
      </w:r>
      <w:r w:rsidR="00124360">
        <w:rPr>
          <w:rFonts w:ascii="Times New Roman" w:eastAsia="Calibri" w:hAnsi="Times New Roman" w:cs="Times New Roman"/>
          <w:sz w:val="20"/>
        </w:rPr>
        <w:t>_________________</w:t>
      </w:r>
      <w:r>
        <w:rPr>
          <w:rFonts w:ascii="Times New Roman" w:eastAsia="Calibri" w:hAnsi="Times New Roman" w:cs="Times New Roman"/>
          <w:sz w:val="20"/>
        </w:rPr>
        <w:t>.</w:t>
      </w:r>
    </w:p>
  </w:footnote>
  <w:footnote w:id="4">
    <w:p w14:paraId="1D1A66AC" w14:textId="77777777" w:rsidR="007A7943" w:rsidRDefault="007A794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Зарегистрирован Минюстом России 27 декабря 2016 г., регистрационный № 44983, с изменениями, внесенными приказом Минэнерго России от 14 июня 2023 г. № 399 (зарегистрирован Минюстом России 10 августа 2023 г., регистрационный № 74724).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96190300"/>
      <w:docPartObj>
        <w:docPartGallery w:val="Page Numbers (Top of Page)"/>
        <w:docPartUnique/>
      </w:docPartObj>
    </w:sdtPr>
    <w:sdtEndPr/>
    <w:sdtContent>
      <w:p w14:paraId="6CFE0681" w14:textId="7AE2CFA1" w:rsidR="007A7943" w:rsidRDefault="007A7943">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9058E">
          <w:rPr>
            <w:rFonts w:ascii="Times New Roman" w:hAnsi="Times New Roman" w:cs="Times New Roman"/>
            <w:noProof/>
            <w:sz w:val="28"/>
            <w:szCs w:val="28"/>
          </w:rPr>
          <w:t>3</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D2F"/>
    <w:multiLevelType w:val="hybridMultilevel"/>
    <w:tmpl w:val="81865032"/>
    <w:lvl w:ilvl="0" w:tplc="26B0B680">
      <w:start w:val="1"/>
      <w:numFmt w:val="decimal"/>
      <w:lvlText w:val="%1."/>
      <w:lvlJc w:val="left"/>
      <w:pPr>
        <w:ind w:left="927" w:hanging="360"/>
      </w:pPr>
      <w:rPr>
        <w:rFonts w:hint="default"/>
      </w:rPr>
    </w:lvl>
    <w:lvl w:ilvl="1" w:tplc="F9082FF2">
      <w:start w:val="1"/>
      <w:numFmt w:val="lowerLetter"/>
      <w:lvlText w:val="%2."/>
      <w:lvlJc w:val="left"/>
      <w:pPr>
        <w:ind w:left="1647" w:hanging="360"/>
      </w:pPr>
    </w:lvl>
    <w:lvl w:ilvl="2" w:tplc="DC263B04">
      <w:start w:val="1"/>
      <w:numFmt w:val="lowerRoman"/>
      <w:lvlText w:val="%3."/>
      <w:lvlJc w:val="right"/>
      <w:pPr>
        <w:ind w:left="2367" w:hanging="180"/>
      </w:pPr>
    </w:lvl>
    <w:lvl w:ilvl="3" w:tplc="866A2186">
      <w:start w:val="1"/>
      <w:numFmt w:val="decimal"/>
      <w:lvlText w:val="%4."/>
      <w:lvlJc w:val="left"/>
      <w:pPr>
        <w:ind w:left="3087" w:hanging="360"/>
      </w:pPr>
    </w:lvl>
    <w:lvl w:ilvl="4" w:tplc="89F63F62">
      <w:start w:val="1"/>
      <w:numFmt w:val="lowerLetter"/>
      <w:lvlText w:val="%5."/>
      <w:lvlJc w:val="left"/>
      <w:pPr>
        <w:ind w:left="3807" w:hanging="360"/>
      </w:pPr>
    </w:lvl>
    <w:lvl w:ilvl="5" w:tplc="20442BC4">
      <w:start w:val="1"/>
      <w:numFmt w:val="lowerRoman"/>
      <w:lvlText w:val="%6."/>
      <w:lvlJc w:val="right"/>
      <w:pPr>
        <w:ind w:left="4527" w:hanging="180"/>
      </w:pPr>
    </w:lvl>
    <w:lvl w:ilvl="6" w:tplc="4D4E0526">
      <w:start w:val="1"/>
      <w:numFmt w:val="decimal"/>
      <w:lvlText w:val="%7."/>
      <w:lvlJc w:val="left"/>
      <w:pPr>
        <w:ind w:left="5247" w:hanging="360"/>
      </w:pPr>
    </w:lvl>
    <w:lvl w:ilvl="7" w:tplc="F888302C">
      <w:start w:val="1"/>
      <w:numFmt w:val="lowerLetter"/>
      <w:lvlText w:val="%8."/>
      <w:lvlJc w:val="left"/>
      <w:pPr>
        <w:ind w:left="5967" w:hanging="360"/>
      </w:pPr>
    </w:lvl>
    <w:lvl w:ilvl="8" w:tplc="4E66FEE6">
      <w:start w:val="1"/>
      <w:numFmt w:val="lowerRoman"/>
      <w:lvlText w:val="%9."/>
      <w:lvlJc w:val="right"/>
      <w:pPr>
        <w:ind w:left="6687" w:hanging="180"/>
      </w:pPr>
    </w:lvl>
  </w:abstractNum>
  <w:abstractNum w:abstractNumId="1">
    <w:nsid w:val="0A7B407E"/>
    <w:multiLevelType w:val="hybridMultilevel"/>
    <w:tmpl w:val="CB6457D6"/>
    <w:lvl w:ilvl="0" w:tplc="FD50AF82">
      <w:start w:val="1"/>
      <w:numFmt w:val="decimal"/>
      <w:lvlText w:val="%1."/>
      <w:lvlJc w:val="left"/>
      <w:pPr>
        <w:ind w:left="502" w:hanging="360"/>
      </w:pPr>
      <w:rPr>
        <w:rFonts w:hint="default"/>
      </w:rPr>
    </w:lvl>
    <w:lvl w:ilvl="1" w:tplc="B77C7FC2">
      <w:start w:val="1"/>
      <w:numFmt w:val="lowerLetter"/>
      <w:lvlText w:val="%2."/>
      <w:lvlJc w:val="left"/>
      <w:pPr>
        <w:ind w:left="1440" w:hanging="360"/>
      </w:pPr>
    </w:lvl>
    <w:lvl w:ilvl="2" w:tplc="9D2061B4">
      <w:start w:val="1"/>
      <w:numFmt w:val="lowerRoman"/>
      <w:lvlText w:val="%3."/>
      <w:lvlJc w:val="right"/>
      <w:pPr>
        <w:ind w:left="2160" w:hanging="180"/>
      </w:pPr>
    </w:lvl>
    <w:lvl w:ilvl="3" w:tplc="9DE4ACB8">
      <w:start w:val="1"/>
      <w:numFmt w:val="decimal"/>
      <w:lvlText w:val="%4."/>
      <w:lvlJc w:val="left"/>
      <w:pPr>
        <w:ind w:left="2880" w:hanging="360"/>
      </w:pPr>
    </w:lvl>
    <w:lvl w:ilvl="4" w:tplc="C2E8B724">
      <w:start w:val="1"/>
      <w:numFmt w:val="lowerLetter"/>
      <w:lvlText w:val="%5."/>
      <w:lvlJc w:val="left"/>
      <w:pPr>
        <w:ind w:left="3600" w:hanging="360"/>
      </w:pPr>
    </w:lvl>
    <w:lvl w:ilvl="5" w:tplc="93E0A3DE">
      <w:start w:val="1"/>
      <w:numFmt w:val="lowerRoman"/>
      <w:lvlText w:val="%6."/>
      <w:lvlJc w:val="right"/>
      <w:pPr>
        <w:ind w:left="4320" w:hanging="180"/>
      </w:pPr>
    </w:lvl>
    <w:lvl w:ilvl="6" w:tplc="F95A8D2C">
      <w:start w:val="1"/>
      <w:numFmt w:val="decimal"/>
      <w:lvlText w:val="%7."/>
      <w:lvlJc w:val="left"/>
      <w:pPr>
        <w:ind w:left="5040" w:hanging="360"/>
      </w:pPr>
    </w:lvl>
    <w:lvl w:ilvl="7" w:tplc="472A751A">
      <w:start w:val="1"/>
      <w:numFmt w:val="lowerLetter"/>
      <w:lvlText w:val="%8."/>
      <w:lvlJc w:val="left"/>
      <w:pPr>
        <w:ind w:left="5760" w:hanging="360"/>
      </w:pPr>
    </w:lvl>
    <w:lvl w:ilvl="8" w:tplc="EF9A8112">
      <w:start w:val="1"/>
      <w:numFmt w:val="lowerRoman"/>
      <w:lvlText w:val="%9."/>
      <w:lvlJc w:val="right"/>
      <w:pPr>
        <w:ind w:left="6480" w:hanging="180"/>
      </w:pPr>
    </w:lvl>
  </w:abstractNum>
  <w:abstractNum w:abstractNumId="2">
    <w:nsid w:val="1DEA60D2"/>
    <w:multiLevelType w:val="hybridMultilevel"/>
    <w:tmpl w:val="52CE0D5A"/>
    <w:lvl w:ilvl="0" w:tplc="78BAE220">
      <w:start w:val="1"/>
      <w:numFmt w:val="decimal"/>
      <w:lvlText w:val="%1."/>
      <w:lvlJc w:val="left"/>
      <w:pPr>
        <w:ind w:left="928" w:hanging="360"/>
      </w:pPr>
    </w:lvl>
    <w:lvl w:ilvl="1" w:tplc="6B2CE616">
      <w:start w:val="1"/>
      <w:numFmt w:val="lowerLetter"/>
      <w:lvlText w:val="%2."/>
      <w:lvlJc w:val="left"/>
      <w:pPr>
        <w:ind w:left="1865" w:hanging="360"/>
      </w:pPr>
    </w:lvl>
    <w:lvl w:ilvl="2" w:tplc="87B48BD4">
      <w:start w:val="1"/>
      <w:numFmt w:val="lowerRoman"/>
      <w:lvlText w:val="%3."/>
      <w:lvlJc w:val="right"/>
      <w:pPr>
        <w:ind w:left="2585" w:hanging="180"/>
      </w:pPr>
    </w:lvl>
    <w:lvl w:ilvl="3" w:tplc="E71485F8">
      <w:start w:val="1"/>
      <w:numFmt w:val="decimal"/>
      <w:lvlText w:val="%4."/>
      <w:lvlJc w:val="left"/>
      <w:pPr>
        <w:ind w:left="3305" w:hanging="360"/>
      </w:pPr>
    </w:lvl>
    <w:lvl w:ilvl="4" w:tplc="FD902C52">
      <w:start w:val="1"/>
      <w:numFmt w:val="lowerLetter"/>
      <w:lvlText w:val="%5."/>
      <w:lvlJc w:val="left"/>
      <w:pPr>
        <w:ind w:left="4025" w:hanging="360"/>
      </w:pPr>
    </w:lvl>
    <w:lvl w:ilvl="5" w:tplc="CB9257EE">
      <w:start w:val="1"/>
      <w:numFmt w:val="lowerRoman"/>
      <w:lvlText w:val="%6."/>
      <w:lvlJc w:val="right"/>
      <w:pPr>
        <w:ind w:left="4745" w:hanging="180"/>
      </w:pPr>
    </w:lvl>
    <w:lvl w:ilvl="6" w:tplc="B664BFFC">
      <w:start w:val="1"/>
      <w:numFmt w:val="decimal"/>
      <w:lvlText w:val="%7."/>
      <w:lvlJc w:val="left"/>
      <w:pPr>
        <w:ind w:left="5465" w:hanging="360"/>
      </w:pPr>
    </w:lvl>
    <w:lvl w:ilvl="7" w:tplc="D80CD86A">
      <w:start w:val="1"/>
      <w:numFmt w:val="lowerLetter"/>
      <w:lvlText w:val="%8."/>
      <w:lvlJc w:val="left"/>
      <w:pPr>
        <w:ind w:left="6185" w:hanging="360"/>
      </w:pPr>
    </w:lvl>
    <w:lvl w:ilvl="8" w:tplc="FC42F290">
      <w:start w:val="1"/>
      <w:numFmt w:val="lowerRoman"/>
      <w:lvlText w:val="%9."/>
      <w:lvlJc w:val="right"/>
      <w:pPr>
        <w:ind w:left="6905" w:hanging="180"/>
      </w:pPr>
    </w:lvl>
  </w:abstractNum>
  <w:abstractNum w:abstractNumId="3">
    <w:nsid w:val="21EF035C"/>
    <w:multiLevelType w:val="hybridMultilevel"/>
    <w:tmpl w:val="271835C4"/>
    <w:lvl w:ilvl="0" w:tplc="292CD494">
      <w:start w:val="1"/>
      <w:numFmt w:val="decimal"/>
      <w:lvlText w:val="%1."/>
      <w:lvlJc w:val="left"/>
      <w:pPr>
        <w:ind w:left="927" w:hanging="360"/>
      </w:pPr>
      <w:rPr>
        <w:rFonts w:hint="default"/>
      </w:rPr>
    </w:lvl>
    <w:lvl w:ilvl="1" w:tplc="BC6880EA">
      <w:start w:val="1"/>
      <w:numFmt w:val="lowerLetter"/>
      <w:lvlText w:val="%2."/>
      <w:lvlJc w:val="left"/>
      <w:pPr>
        <w:ind w:left="1647" w:hanging="360"/>
      </w:pPr>
    </w:lvl>
    <w:lvl w:ilvl="2" w:tplc="0A9A1748">
      <w:start w:val="1"/>
      <w:numFmt w:val="lowerRoman"/>
      <w:lvlText w:val="%3."/>
      <w:lvlJc w:val="right"/>
      <w:pPr>
        <w:ind w:left="2367" w:hanging="180"/>
      </w:pPr>
    </w:lvl>
    <w:lvl w:ilvl="3" w:tplc="66206C92">
      <w:start w:val="1"/>
      <w:numFmt w:val="decimal"/>
      <w:lvlText w:val="%4."/>
      <w:lvlJc w:val="left"/>
      <w:pPr>
        <w:ind w:left="3087" w:hanging="360"/>
      </w:pPr>
    </w:lvl>
    <w:lvl w:ilvl="4" w:tplc="8FBA43DC">
      <w:start w:val="1"/>
      <w:numFmt w:val="lowerLetter"/>
      <w:lvlText w:val="%5."/>
      <w:lvlJc w:val="left"/>
      <w:pPr>
        <w:ind w:left="3807" w:hanging="360"/>
      </w:pPr>
    </w:lvl>
    <w:lvl w:ilvl="5" w:tplc="D68A1FF0">
      <w:start w:val="1"/>
      <w:numFmt w:val="lowerRoman"/>
      <w:lvlText w:val="%6."/>
      <w:lvlJc w:val="right"/>
      <w:pPr>
        <w:ind w:left="4527" w:hanging="180"/>
      </w:pPr>
    </w:lvl>
    <w:lvl w:ilvl="6" w:tplc="8D0CAAD0">
      <w:start w:val="1"/>
      <w:numFmt w:val="decimal"/>
      <w:lvlText w:val="%7."/>
      <w:lvlJc w:val="left"/>
      <w:pPr>
        <w:ind w:left="5247" w:hanging="360"/>
      </w:pPr>
    </w:lvl>
    <w:lvl w:ilvl="7" w:tplc="6E02D534">
      <w:start w:val="1"/>
      <w:numFmt w:val="lowerLetter"/>
      <w:lvlText w:val="%8."/>
      <w:lvlJc w:val="left"/>
      <w:pPr>
        <w:ind w:left="5967" w:hanging="360"/>
      </w:pPr>
    </w:lvl>
    <w:lvl w:ilvl="8" w:tplc="ABE4EBD8">
      <w:start w:val="1"/>
      <w:numFmt w:val="lowerRoman"/>
      <w:lvlText w:val="%9."/>
      <w:lvlJc w:val="right"/>
      <w:pPr>
        <w:ind w:left="6687" w:hanging="180"/>
      </w:pPr>
    </w:lvl>
  </w:abstractNum>
  <w:abstractNum w:abstractNumId="4">
    <w:nsid w:val="23343CF6"/>
    <w:multiLevelType w:val="hybridMultilevel"/>
    <w:tmpl w:val="D56625BA"/>
    <w:lvl w:ilvl="0" w:tplc="CD249D70">
      <w:start w:val="1"/>
      <w:numFmt w:val="decimal"/>
      <w:lvlText w:val="%1."/>
      <w:lvlJc w:val="left"/>
      <w:pPr>
        <w:ind w:left="502" w:hanging="360"/>
      </w:pPr>
      <w:rPr>
        <w:rFonts w:hint="default"/>
      </w:rPr>
    </w:lvl>
    <w:lvl w:ilvl="1" w:tplc="74E84FFA">
      <w:start w:val="1"/>
      <w:numFmt w:val="lowerLetter"/>
      <w:lvlText w:val="%2."/>
      <w:lvlJc w:val="left"/>
      <w:pPr>
        <w:ind w:left="1440" w:hanging="360"/>
      </w:pPr>
    </w:lvl>
    <w:lvl w:ilvl="2" w:tplc="91724F3E">
      <w:start w:val="1"/>
      <w:numFmt w:val="lowerRoman"/>
      <w:lvlText w:val="%3."/>
      <w:lvlJc w:val="right"/>
      <w:pPr>
        <w:ind w:left="2160" w:hanging="180"/>
      </w:pPr>
    </w:lvl>
    <w:lvl w:ilvl="3" w:tplc="5658CEDC">
      <w:start w:val="1"/>
      <w:numFmt w:val="decimal"/>
      <w:lvlText w:val="%4."/>
      <w:lvlJc w:val="left"/>
      <w:pPr>
        <w:ind w:left="2880" w:hanging="360"/>
      </w:pPr>
    </w:lvl>
    <w:lvl w:ilvl="4" w:tplc="4D10B6EE">
      <w:start w:val="1"/>
      <w:numFmt w:val="lowerLetter"/>
      <w:lvlText w:val="%5."/>
      <w:lvlJc w:val="left"/>
      <w:pPr>
        <w:ind w:left="3600" w:hanging="360"/>
      </w:pPr>
    </w:lvl>
    <w:lvl w:ilvl="5" w:tplc="4306A07A">
      <w:start w:val="1"/>
      <w:numFmt w:val="lowerRoman"/>
      <w:lvlText w:val="%6."/>
      <w:lvlJc w:val="right"/>
      <w:pPr>
        <w:ind w:left="4320" w:hanging="180"/>
      </w:pPr>
    </w:lvl>
    <w:lvl w:ilvl="6" w:tplc="DDA48A2E">
      <w:start w:val="1"/>
      <w:numFmt w:val="decimal"/>
      <w:lvlText w:val="%7."/>
      <w:lvlJc w:val="left"/>
      <w:pPr>
        <w:ind w:left="5040" w:hanging="360"/>
      </w:pPr>
    </w:lvl>
    <w:lvl w:ilvl="7" w:tplc="8D045416">
      <w:start w:val="1"/>
      <w:numFmt w:val="lowerLetter"/>
      <w:lvlText w:val="%8."/>
      <w:lvlJc w:val="left"/>
      <w:pPr>
        <w:ind w:left="5760" w:hanging="360"/>
      </w:pPr>
    </w:lvl>
    <w:lvl w:ilvl="8" w:tplc="20A0E0F8">
      <w:start w:val="1"/>
      <w:numFmt w:val="lowerRoman"/>
      <w:lvlText w:val="%9."/>
      <w:lvlJc w:val="right"/>
      <w:pPr>
        <w:ind w:left="6480" w:hanging="180"/>
      </w:pPr>
    </w:lvl>
  </w:abstractNum>
  <w:abstractNum w:abstractNumId="5">
    <w:nsid w:val="2E720230"/>
    <w:multiLevelType w:val="hybridMultilevel"/>
    <w:tmpl w:val="4C4C863A"/>
    <w:lvl w:ilvl="0" w:tplc="07102972">
      <w:start w:val="1"/>
      <w:numFmt w:val="decimal"/>
      <w:lvlText w:val="%1."/>
      <w:lvlJc w:val="left"/>
      <w:pPr>
        <w:ind w:left="1069" w:hanging="360"/>
      </w:pPr>
    </w:lvl>
    <w:lvl w:ilvl="1" w:tplc="436616A4">
      <w:start w:val="1"/>
      <w:numFmt w:val="lowerLetter"/>
      <w:lvlText w:val="%2."/>
      <w:lvlJc w:val="left"/>
      <w:pPr>
        <w:ind w:left="1789" w:hanging="360"/>
      </w:pPr>
    </w:lvl>
    <w:lvl w:ilvl="2" w:tplc="E8C8CD46">
      <w:start w:val="1"/>
      <w:numFmt w:val="lowerRoman"/>
      <w:lvlText w:val="%3."/>
      <w:lvlJc w:val="right"/>
      <w:pPr>
        <w:ind w:left="2509" w:hanging="180"/>
      </w:pPr>
    </w:lvl>
    <w:lvl w:ilvl="3" w:tplc="95F8C998">
      <w:start w:val="1"/>
      <w:numFmt w:val="decimal"/>
      <w:lvlText w:val="%4."/>
      <w:lvlJc w:val="left"/>
      <w:pPr>
        <w:ind w:left="3229" w:hanging="360"/>
      </w:pPr>
    </w:lvl>
    <w:lvl w:ilvl="4" w:tplc="71A8DE30">
      <w:start w:val="1"/>
      <w:numFmt w:val="lowerLetter"/>
      <w:lvlText w:val="%5."/>
      <w:lvlJc w:val="left"/>
      <w:pPr>
        <w:ind w:left="3949" w:hanging="360"/>
      </w:pPr>
    </w:lvl>
    <w:lvl w:ilvl="5" w:tplc="6BBA5654">
      <w:start w:val="1"/>
      <w:numFmt w:val="lowerRoman"/>
      <w:lvlText w:val="%6."/>
      <w:lvlJc w:val="right"/>
      <w:pPr>
        <w:ind w:left="4669" w:hanging="180"/>
      </w:pPr>
    </w:lvl>
    <w:lvl w:ilvl="6" w:tplc="494672FA">
      <w:start w:val="1"/>
      <w:numFmt w:val="decimal"/>
      <w:lvlText w:val="%7."/>
      <w:lvlJc w:val="left"/>
      <w:pPr>
        <w:ind w:left="5389" w:hanging="360"/>
      </w:pPr>
    </w:lvl>
    <w:lvl w:ilvl="7" w:tplc="5F140A5A">
      <w:start w:val="1"/>
      <w:numFmt w:val="lowerLetter"/>
      <w:lvlText w:val="%8."/>
      <w:lvlJc w:val="left"/>
      <w:pPr>
        <w:ind w:left="6109" w:hanging="360"/>
      </w:pPr>
    </w:lvl>
    <w:lvl w:ilvl="8" w:tplc="6FB4EEDC">
      <w:start w:val="1"/>
      <w:numFmt w:val="lowerRoman"/>
      <w:lvlText w:val="%9."/>
      <w:lvlJc w:val="right"/>
      <w:pPr>
        <w:ind w:left="6829" w:hanging="180"/>
      </w:pPr>
    </w:lvl>
  </w:abstractNum>
  <w:abstractNum w:abstractNumId="6">
    <w:nsid w:val="3CBD587B"/>
    <w:multiLevelType w:val="hybridMultilevel"/>
    <w:tmpl w:val="5D26F844"/>
    <w:lvl w:ilvl="0" w:tplc="130AD91A">
      <w:start w:val="1"/>
      <w:numFmt w:val="decimal"/>
      <w:lvlText w:val="%1."/>
      <w:lvlJc w:val="left"/>
      <w:pPr>
        <w:ind w:left="502" w:hanging="360"/>
      </w:pPr>
      <w:rPr>
        <w:rFonts w:hint="default"/>
      </w:rPr>
    </w:lvl>
    <w:lvl w:ilvl="1" w:tplc="6AE2C3D8">
      <w:start w:val="1"/>
      <w:numFmt w:val="lowerLetter"/>
      <w:lvlText w:val="%2."/>
      <w:lvlJc w:val="left"/>
      <w:pPr>
        <w:ind w:left="1440" w:hanging="360"/>
      </w:pPr>
    </w:lvl>
    <w:lvl w:ilvl="2" w:tplc="D33642B8">
      <w:start w:val="1"/>
      <w:numFmt w:val="lowerRoman"/>
      <w:lvlText w:val="%3."/>
      <w:lvlJc w:val="right"/>
      <w:pPr>
        <w:ind w:left="2160" w:hanging="180"/>
      </w:pPr>
    </w:lvl>
    <w:lvl w:ilvl="3" w:tplc="E3E0A10A">
      <w:start w:val="1"/>
      <w:numFmt w:val="decimal"/>
      <w:lvlText w:val="%4."/>
      <w:lvlJc w:val="left"/>
      <w:pPr>
        <w:ind w:left="2880" w:hanging="360"/>
      </w:pPr>
    </w:lvl>
    <w:lvl w:ilvl="4" w:tplc="6876E650">
      <w:start w:val="1"/>
      <w:numFmt w:val="lowerLetter"/>
      <w:lvlText w:val="%5."/>
      <w:lvlJc w:val="left"/>
      <w:pPr>
        <w:ind w:left="3600" w:hanging="360"/>
      </w:pPr>
    </w:lvl>
    <w:lvl w:ilvl="5" w:tplc="3FFABC60">
      <w:start w:val="1"/>
      <w:numFmt w:val="lowerRoman"/>
      <w:lvlText w:val="%6."/>
      <w:lvlJc w:val="right"/>
      <w:pPr>
        <w:ind w:left="4320" w:hanging="180"/>
      </w:pPr>
    </w:lvl>
    <w:lvl w:ilvl="6" w:tplc="323EBAD6">
      <w:start w:val="1"/>
      <w:numFmt w:val="decimal"/>
      <w:lvlText w:val="%7."/>
      <w:lvlJc w:val="left"/>
      <w:pPr>
        <w:ind w:left="5040" w:hanging="360"/>
      </w:pPr>
    </w:lvl>
    <w:lvl w:ilvl="7" w:tplc="28D254C4">
      <w:start w:val="1"/>
      <w:numFmt w:val="lowerLetter"/>
      <w:lvlText w:val="%8."/>
      <w:lvlJc w:val="left"/>
      <w:pPr>
        <w:ind w:left="5760" w:hanging="360"/>
      </w:pPr>
    </w:lvl>
    <w:lvl w:ilvl="8" w:tplc="3D32213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D5"/>
    <w:rsid w:val="00121D5A"/>
    <w:rsid w:val="00124360"/>
    <w:rsid w:val="00137F07"/>
    <w:rsid w:val="002B4D7C"/>
    <w:rsid w:val="003410FA"/>
    <w:rsid w:val="003D1636"/>
    <w:rsid w:val="003F1A2C"/>
    <w:rsid w:val="004B2BDB"/>
    <w:rsid w:val="00503F68"/>
    <w:rsid w:val="005330BC"/>
    <w:rsid w:val="005979D5"/>
    <w:rsid w:val="00676BB9"/>
    <w:rsid w:val="006A2282"/>
    <w:rsid w:val="006F22EE"/>
    <w:rsid w:val="007A7943"/>
    <w:rsid w:val="009C0BB0"/>
    <w:rsid w:val="00B9058E"/>
    <w:rsid w:val="00DE016B"/>
    <w:rsid w:val="00EB19EB"/>
    <w:rsid w:val="00F20EF9"/>
    <w:rsid w:val="00FB40A2"/>
    <w:rsid w:val="00FF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1"/>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1"/>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1"/>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1"/>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1"/>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1"/>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1"/>
    <w:uiPriority w:val="10"/>
    <w:qFormat/>
    <w:pPr>
      <w:spacing w:before="3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1"/>
    <w:uiPriority w:val="99"/>
    <w:unhideWhenUsed/>
    <w:pPr>
      <w:tabs>
        <w:tab w:val="center" w:pos="4677"/>
        <w:tab w:val="right" w:pos="9355"/>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677"/>
        <w:tab w:val="right" w:pos="9355"/>
      </w:tabs>
      <w:spacing w:after="0" w:line="240" w:lineRule="auto"/>
    </w:pPr>
  </w:style>
  <w:style w:type="character" w:customStyle="1" w:styleId="FooterChar1">
    <w:name w:val="Footer Char1"/>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basedOn w:val="Normal"/>
    <w:uiPriority w:val="34"/>
    <w:qFormat/>
    <w:pPr>
      <w:spacing w:after="160" w:line="259" w:lineRule="auto"/>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1"/>
    <w:uiPriority w:val="99"/>
    <w:semiHidden/>
    <w:unhideWhenUsed/>
    <w:pPr>
      <w:spacing w:after="0" w:line="240" w:lineRule="auto"/>
    </w:pPr>
    <w:rPr>
      <w:sz w:val="20"/>
      <w:szCs w:val="20"/>
    </w:rPr>
  </w:style>
  <w:style w:type="character" w:customStyle="1" w:styleId="EndnoteTextChar1">
    <w:name w:val="Endnote Text Char1"/>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1"/>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1"/>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1"/>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1"/>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1"/>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1"/>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1"/>
    <w:uiPriority w:val="10"/>
    <w:qFormat/>
    <w:pPr>
      <w:spacing w:before="3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1"/>
    <w:uiPriority w:val="99"/>
    <w:unhideWhenUsed/>
    <w:pPr>
      <w:tabs>
        <w:tab w:val="center" w:pos="4677"/>
        <w:tab w:val="right" w:pos="9355"/>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677"/>
        <w:tab w:val="right" w:pos="9355"/>
      </w:tabs>
      <w:spacing w:after="0" w:line="240" w:lineRule="auto"/>
    </w:pPr>
  </w:style>
  <w:style w:type="character" w:customStyle="1" w:styleId="FooterChar1">
    <w:name w:val="Footer Char1"/>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basedOn w:val="Normal"/>
    <w:uiPriority w:val="34"/>
    <w:qFormat/>
    <w:pPr>
      <w:spacing w:after="160" w:line="259" w:lineRule="auto"/>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1"/>
    <w:uiPriority w:val="99"/>
    <w:semiHidden/>
    <w:unhideWhenUsed/>
    <w:pPr>
      <w:spacing w:after="0" w:line="240" w:lineRule="auto"/>
    </w:pPr>
    <w:rPr>
      <w:sz w:val="20"/>
      <w:szCs w:val="20"/>
    </w:rPr>
  </w:style>
  <w:style w:type="character" w:customStyle="1" w:styleId="EndnoteTextChar1">
    <w:name w:val="Endnote Text Char1"/>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1.wmf"/><Relationship Id="rId25" Type="http://schemas.openxmlformats.org/officeDocument/2006/relationships/image" Target="media/image10.wmf"/><Relationship Id="rId26" Type="http://schemas.openxmlformats.org/officeDocument/2006/relationships/fontTable" Target="fontTable.xml"/><Relationship Id="rId27" Type="http://schemas.openxmlformats.org/officeDocument/2006/relationships/theme" Target="theme/theme1.xml"/><Relationship Id="rId29" Type="http://schemas.microsoft.com/office/2018/08/relationships/commentsExtensible" Target="commentsExtensible.xml"/><Relationship Id="rId30" Type="http://schemas.microsoft.com/office/2016/09/relationships/commentsIds" Target="commentsIds.xml"/><Relationship Id="rId10" Type="http://schemas.openxmlformats.org/officeDocument/2006/relationships/footer" Target="footer1.xml"/><Relationship Id="rId11" Type="http://schemas.openxmlformats.org/officeDocument/2006/relationships/hyperlink" Target="consultantplus://offline/ref=FF15E70820E43863358A4F63A31184CE3100B3D84CDC93948EC8C4901496CD0F13F1362A178E0232864C3D2EC3C6750A5F7129B3A27BE3F5vBKFO" TargetMode="External"/><Relationship Id="rId12" Type="http://schemas.openxmlformats.org/officeDocument/2006/relationships/hyperlink" Target="consultantplus://offline/ref=FF15E70820E43863358A4F63A31184CE310AB1DA45D993948EC8C4901496CD0F13F1362F14860967D4033C728696660A5A712AB3BDv7K0O" TargetMode="External"/><Relationship Id="rId13" Type="http://schemas.openxmlformats.org/officeDocument/2006/relationships/hyperlink" Target="consultantplus://offline/ref=FF15E70820E43863358A4F63A31184CE310AB1DA45D993948EC8C4901496CD0F13F1362F138F0967D4033C728696660A5A712AB3BDv7K0O" TargetMode="External"/><Relationship Id="rId14" Type="http://schemas.openxmlformats.org/officeDocument/2006/relationships/hyperlink" Target="consultantplus://offline/ref=FF15E70820E43863358A4F63A31184CE310AB1DA45D993948EC8C4901496CD0F13F1362F128D0967D4033C728696660A5A712AB3BDv7K0O" TargetMode="External"/><Relationship Id="rId15" Type="http://schemas.openxmlformats.org/officeDocument/2006/relationships/hyperlink" Target="consultantplus://offline/ref=FF15E70820E43863358A4F63A31184CE310AB1DA45D993948EC8C4901496CD0F13F1362F12870967D4033C728696660A5A712AB3BDv7K0O" TargetMode="External"/><Relationship Id="rId16" Type="http://schemas.openxmlformats.org/officeDocument/2006/relationships/hyperlink" Target="consultantplus://offline/ref=FF15E70820E43863358A4F63A31184CE310AB1DA45D993948EC8C4901496CD0F13F1362F108F0967D4033C728696660A5A712AB3BDv7K0O" TargetMode="External"/><Relationship Id="rId17" Type="http://schemas.openxmlformats.org/officeDocument/2006/relationships/hyperlink" Target="consultantplus://offline/ref=FF15E70820E43863358A4F63A31184CE310AB1DA45D993948EC8C4901496CD0F13F1362F1F8E0967D4033C728696660A5A712AB3BDv7K0O" TargetMode="External"/><Relationship Id="rId18" Type="http://schemas.openxmlformats.org/officeDocument/2006/relationships/hyperlink" Target="consultantplus://offline/ref=FF15E70820E43863358A4F63A31184CE310AB1DA45D993948EC8C4901496CD0F13F1362F1F870967D4033C728696660A5A712AB3BDv7K0O" TargetMode="External"/><Relationship Id="rId19" Type="http://schemas.openxmlformats.org/officeDocument/2006/relationships/hyperlink" Target="consultantplus://offline/ref=FF15E70820E43863358A4F63A31184CE3100B3D84CDC93948EC8C4901496CD0F13F1362A178E0232864C3D2EC3C6750A5F7129B3A27BE3F5vBKFO"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5C64-2B22-2A4A-B39F-CF67209C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8615</Words>
  <Characters>49106</Characters>
  <Application>Microsoft Macintosh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Snegana</cp:lastModifiedBy>
  <cp:revision>2</cp:revision>
  <dcterms:created xsi:type="dcterms:W3CDTF">2025-08-15T13:15:00Z</dcterms:created>
  <dcterms:modified xsi:type="dcterms:W3CDTF">2025-08-15T13:15:00Z</dcterms:modified>
</cp:coreProperties>
</file>