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62B4B" w14:textId="77777777" w:rsidR="00852F9E" w:rsidRPr="00FB3EF3" w:rsidRDefault="00852F9E" w:rsidP="00852F9E">
      <w:pPr>
        <w:pageBreakBefore/>
        <w:spacing w:after="0"/>
        <w:ind w:left="11" w:right="6" w:hanging="11"/>
        <w:jc w:val="center"/>
        <w:rPr>
          <w:color w:val="auto"/>
        </w:rPr>
      </w:pPr>
      <w:bookmarkStart w:id="0" w:name="_GoBack"/>
      <w:bookmarkEnd w:id="0"/>
      <w:r w:rsidRPr="00FB3EF3">
        <w:rPr>
          <w:rFonts w:ascii="Times New Roman" w:eastAsia="Times New Roman" w:hAnsi="Times New Roman" w:cs="Times New Roman"/>
          <w:b/>
          <w:color w:val="auto"/>
          <w:sz w:val="28"/>
        </w:rPr>
        <w:t xml:space="preserve">ПОЯСНИТЕЛЬНАЯ ЗАПИСКА </w:t>
      </w:r>
    </w:p>
    <w:p w14:paraId="2AA78C80" w14:textId="77777777" w:rsidR="00852F9E" w:rsidRPr="006E4260" w:rsidRDefault="00852F9E" w:rsidP="006E4260">
      <w:pPr>
        <w:spacing w:after="0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60">
        <w:rPr>
          <w:rFonts w:ascii="Times New Roman" w:hAnsi="Times New Roman" w:cs="Times New Roman"/>
          <w:b/>
          <w:sz w:val="28"/>
          <w:szCs w:val="28"/>
        </w:rPr>
        <w:t>к проекту приказа Минэнерго России «</w:t>
      </w:r>
      <w:r w:rsidR="00DE3977" w:rsidRPr="00DE3977">
        <w:rPr>
          <w:rFonts w:ascii="Times New Roman" w:hAnsi="Times New Roman" w:cs="Times New Roman"/>
          <w:b/>
          <w:sz w:val="28"/>
          <w:szCs w:val="28"/>
        </w:rPr>
        <w:t>Об утверждении методических указаний по расчету вероятности отказа функционального узла и единицы основного технологического оборудования и оценки последствий такого отказа</w:t>
      </w:r>
      <w:r w:rsidRPr="006E4260">
        <w:rPr>
          <w:rFonts w:ascii="Times New Roman" w:hAnsi="Times New Roman" w:cs="Times New Roman"/>
          <w:b/>
          <w:sz w:val="28"/>
          <w:szCs w:val="28"/>
        </w:rPr>
        <w:t>»</w:t>
      </w:r>
    </w:p>
    <w:p w14:paraId="78C5E370" w14:textId="77777777" w:rsidR="00852F9E" w:rsidRPr="00FB3EF3" w:rsidRDefault="00852F9E" w:rsidP="00852F9E">
      <w:pPr>
        <w:suppressAutoHyphens/>
        <w:spacing w:after="0" w:line="360" w:lineRule="auto"/>
        <w:ind w:firstLine="709"/>
        <w:jc w:val="both"/>
        <w:rPr>
          <w:color w:val="auto"/>
        </w:rPr>
      </w:pPr>
    </w:p>
    <w:p w14:paraId="5AB330D4" w14:textId="0C4B3489" w:rsidR="0017761A" w:rsidRDefault="0017761A" w:rsidP="0017761A">
      <w:pPr>
        <w:pStyle w:val="pt-a-000002"/>
        <w:shd w:val="clear" w:color="auto" w:fill="FFFFFF"/>
        <w:spacing w:before="0" w:beforeAutospacing="0" w:after="0" w:afterAutospacing="0" w:line="360" w:lineRule="auto"/>
        <w:ind w:firstLine="706"/>
        <w:contextualSpacing/>
        <w:jc w:val="both"/>
        <w:rPr>
          <w:sz w:val="28"/>
          <w:szCs w:val="28"/>
        </w:rPr>
      </w:pPr>
      <w:r w:rsidRPr="00703746">
        <w:rPr>
          <w:rStyle w:val="pt-a0-000003"/>
          <w:color w:val="000000"/>
          <w:sz w:val="28"/>
          <w:szCs w:val="28"/>
        </w:rPr>
        <w:t>Проект приказа «</w:t>
      </w:r>
      <w:r w:rsidR="00DE3977" w:rsidRPr="00703746">
        <w:rPr>
          <w:bCs/>
          <w:sz w:val="28"/>
          <w:szCs w:val="28"/>
        </w:rPr>
        <w:t>Об утверждении методических указаний по расчету вероятности отказа функционального узла и единицы основного технологического оборудования и оценки последствий такого отказа</w:t>
      </w:r>
      <w:r w:rsidRPr="00703746">
        <w:rPr>
          <w:rStyle w:val="pt-a0-000003"/>
          <w:color w:val="000000"/>
          <w:sz w:val="28"/>
          <w:szCs w:val="28"/>
        </w:rPr>
        <w:t xml:space="preserve">» (далее – </w:t>
      </w:r>
      <w:r w:rsidR="00565F67">
        <w:rPr>
          <w:rStyle w:val="pt-a0-000003"/>
          <w:color w:val="000000"/>
          <w:sz w:val="28"/>
          <w:szCs w:val="28"/>
        </w:rPr>
        <w:t>п</w:t>
      </w:r>
      <w:r w:rsidRPr="00703746">
        <w:rPr>
          <w:rStyle w:val="pt-a0-000003"/>
          <w:color w:val="000000"/>
          <w:sz w:val="28"/>
          <w:szCs w:val="28"/>
        </w:rPr>
        <w:t xml:space="preserve">роект приказа) разработан по результатам применения </w:t>
      </w:r>
      <w:r w:rsidR="00047113" w:rsidRPr="00703746">
        <w:rPr>
          <w:rStyle w:val="pt-a0-000003"/>
          <w:color w:val="000000"/>
          <w:sz w:val="28"/>
          <w:szCs w:val="28"/>
        </w:rPr>
        <w:t>методических указаний по расчету вероятности отказа функционального узла и</w:t>
      </w:r>
      <w:r w:rsidR="00047113" w:rsidRPr="00703746">
        <w:rPr>
          <w:rFonts w:eastAsia="Calibri"/>
          <w:sz w:val="28"/>
          <w:szCs w:val="28"/>
        </w:rPr>
        <w:t xml:space="preserve"> единицы основного технологического оборудования и оценки последствий такого отказа, утвержденных приказом Минэнерго России от 19 февраля 2019 г. № 123 (зарегистрирован Минюстом</w:t>
      </w:r>
      <w:r w:rsidR="00AA013F">
        <w:rPr>
          <w:rFonts w:eastAsia="Calibri"/>
          <w:sz w:val="28"/>
          <w:szCs w:val="28"/>
        </w:rPr>
        <w:t> </w:t>
      </w:r>
      <w:r w:rsidR="00047113" w:rsidRPr="00703746">
        <w:rPr>
          <w:rFonts w:eastAsia="Calibri"/>
          <w:sz w:val="28"/>
          <w:szCs w:val="28"/>
        </w:rPr>
        <w:t>России 4 апреля 2019 г</w:t>
      </w:r>
      <w:r w:rsidR="00AA013F">
        <w:rPr>
          <w:rFonts w:eastAsia="Calibri"/>
          <w:sz w:val="28"/>
          <w:szCs w:val="28"/>
        </w:rPr>
        <w:t>.</w:t>
      </w:r>
      <w:r w:rsidR="00047113" w:rsidRPr="00703746">
        <w:rPr>
          <w:rFonts w:eastAsia="Calibri"/>
          <w:sz w:val="28"/>
          <w:szCs w:val="28"/>
        </w:rPr>
        <w:t>, регистрационный № 54277)</w:t>
      </w:r>
      <w:r w:rsidR="00565F67">
        <w:rPr>
          <w:rFonts w:eastAsia="Calibri"/>
          <w:sz w:val="28"/>
          <w:szCs w:val="28"/>
        </w:rPr>
        <w:t>,</w:t>
      </w:r>
      <w:r w:rsidR="00047113" w:rsidRPr="00703746">
        <w:rPr>
          <w:rFonts w:eastAsia="Calibri"/>
          <w:sz w:val="28"/>
          <w:szCs w:val="28"/>
        </w:rPr>
        <w:t xml:space="preserve"> и в связи с </w:t>
      </w:r>
      <w:r w:rsidR="00047113" w:rsidRPr="00703746">
        <w:rPr>
          <w:rFonts w:asciiTheme="majorBidi" w:hAnsiTheme="majorBidi" w:cstheme="majorBidi"/>
          <w:sz w:val="28"/>
          <w:szCs w:val="28"/>
        </w:rPr>
        <w:t>вн</w:t>
      </w:r>
      <w:r w:rsidR="00F1301F">
        <w:rPr>
          <w:rFonts w:asciiTheme="majorBidi" w:hAnsiTheme="majorBidi" w:cstheme="majorBidi"/>
          <w:sz w:val="28"/>
          <w:szCs w:val="28"/>
        </w:rPr>
        <w:t>есенными</w:t>
      </w:r>
      <w:r w:rsidR="00047113" w:rsidRPr="00703746">
        <w:rPr>
          <w:rFonts w:asciiTheme="majorBidi" w:hAnsiTheme="majorBidi" w:cstheme="majorBidi"/>
          <w:sz w:val="28"/>
          <w:szCs w:val="28"/>
        </w:rPr>
        <w:t xml:space="preserve"> изменениями в Методику оценки технического состояния основного технологического оборудования и линий электропередачи электрических станций и электрических сетей, утвержденную приказом Минэнерго России от 26.07.2017 № 676</w:t>
      </w:r>
      <w:r w:rsidRPr="00703746">
        <w:rPr>
          <w:sz w:val="28"/>
          <w:szCs w:val="28"/>
        </w:rPr>
        <w:t>.</w:t>
      </w:r>
    </w:p>
    <w:p w14:paraId="276519A5" w14:textId="77777777" w:rsidR="0017761A" w:rsidRPr="00F1301F" w:rsidRDefault="0017761A" w:rsidP="0017761A">
      <w:pPr>
        <w:pStyle w:val="pt-a-000002"/>
        <w:shd w:val="clear" w:color="auto" w:fill="FFFFFF"/>
        <w:spacing w:before="0" w:beforeAutospacing="0" w:after="0" w:afterAutospacing="0" w:line="360" w:lineRule="auto"/>
        <w:ind w:firstLine="706"/>
        <w:contextualSpacing/>
        <w:jc w:val="both"/>
        <w:rPr>
          <w:rStyle w:val="pt-a0-000003"/>
          <w:color w:val="000000"/>
          <w:sz w:val="28"/>
          <w:szCs w:val="28"/>
        </w:rPr>
      </w:pPr>
      <w:r w:rsidRPr="00F1301F">
        <w:rPr>
          <w:rStyle w:val="pt-a0-000003"/>
          <w:color w:val="000000"/>
          <w:sz w:val="28"/>
          <w:szCs w:val="28"/>
        </w:rPr>
        <w:t>Проект приказа направлен:</w:t>
      </w:r>
    </w:p>
    <w:p w14:paraId="638902F1" w14:textId="75F15146" w:rsidR="00FF09CF" w:rsidRPr="00FF09CF" w:rsidRDefault="008174BD" w:rsidP="00AE6AEA">
      <w:pPr>
        <w:pStyle w:val="pt-a-000002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6"/>
        <w:contextualSpacing/>
        <w:jc w:val="both"/>
        <w:rPr>
          <w:color w:val="000000"/>
          <w:sz w:val="28"/>
          <w:szCs w:val="28"/>
        </w:rPr>
      </w:pPr>
      <w:r w:rsidRPr="008174BD">
        <w:rPr>
          <w:sz w:val="28"/>
          <w:szCs w:val="28"/>
        </w:rPr>
        <w:t>На</w:t>
      </w:r>
      <w:r w:rsidR="00FF09CF" w:rsidRPr="00F1301F">
        <w:t xml:space="preserve"> </w:t>
      </w:r>
      <w:r w:rsidR="009E1867" w:rsidRPr="009E6A9C">
        <w:rPr>
          <w:sz w:val="28"/>
          <w:szCs w:val="28"/>
        </w:rPr>
        <w:t>формировани</w:t>
      </w:r>
      <w:r w:rsidR="009E1867">
        <w:rPr>
          <w:sz w:val="28"/>
          <w:szCs w:val="28"/>
        </w:rPr>
        <w:t>е</w:t>
      </w:r>
      <w:r w:rsidR="009E1867" w:rsidRPr="009E6A9C">
        <w:rPr>
          <w:sz w:val="28"/>
          <w:szCs w:val="28"/>
        </w:rPr>
        <w:t xml:space="preserve"> типовых предложений </w:t>
      </w:r>
      <w:r w:rsidR="009E1867">
        <w:rPr>
          <w:sz w:val="28"/>
          <w:szCs w:val="28"/>
        </w:rPr>
        <w:t>по</w:t>
      </w:r>
      <w:r w:rsidR="009E1867" w:rsidRPr="009E6A9C">
        <w:rPr>
          <w:sz w:val="28"/>
          <w:szCs w:val="28"/>
        </w:rPr>
        <w:t xml:space="preserve"> оптимизации процессов эксплуатации объектов электроэнергетики</w:t>
      </w:r>
      <w:r w:rsidR="00FF09CF">
        <w:rPr>
          <w:sz w:val="28"/>
          <w:szCs w:val="28"/>
        </w:rPr>
        <w:t>.</w:t>
      </w:r>
    </w:p>
    <w:p w14:paraId="6C2FBB26" w14:textId="44504C41" w:rsidR="00164FCE" w:rsidRPr="00C5225F" w:rsidRDefault="00F1301F" w:rsidP="00C5225F">
      <w:pPr>
        <w:pStyle w:val="pt-a-000002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6"/>
        <w:contextualSpacing/>
        <w:jc w:val="both"/>
        <w:rPr>
          <w:color w:val="000000"/>
          <w:sz w:val="28"/>
          <w:szCs w:val="28"/>
        </w:rPr>
      </w:pPr>
      <w:r w:rsidRPr="00F1301F">
        <w:rPr>
          <w:sz w:val="28"/>
          <w:szCs w:val="28"/>
        </w:rPr>
        <w:t>На определение оптимального технического воздействия</w:t>
      </w:r>
      <w:r w:rsidR="00353F71">
        <w:rPr>
          <w:sz w:val="28"/>
          <w:szCs w:val="28"/>
        </w:rPr>
        <w:t xml:space="preserve"> (ремонта)</w:t>
      </w:r>
      <w:r w:rsidRPr="00F1301F">
        <w:rPr>
          <w:sz w:val="28"/>
          <w:szCs w:val="28"/>
        </w:rPr>
        <w:t xml:space="preserve"> на основное технологическое оборудование при планировании технического обслуживания и ремонта, а также технического перевооружения и реконструкции объектов электроэнергетики</w:t>
      </w:r>
      <w:r w:rsidR="00CE243C" w:rsidRPr="00F1301F">
        <w:rPr>
          <w:rStyle w:val="pt-a0-000003"/>
          <w:color w:val="000000"/>
          <w:sz w:val="28"/>
          <w:szCs w:val="28"/>
        </w:rPr>
        <w:t xml:space="preserve">. </w:t>
      </w:r>
    </w:p>
    <w:p w14:paraId="7E2B917E" w14:textId="67290455" w:rsidR="00164FCE" w:rsidRPr="00FB3EF3" w:rsidRDefault="00CA6D03" w:rsidP="00164FCE">
      <w:pPr>
        <w:spacing w:after="1" w:line="357" w:lineRule="auto"/>
        <w:ind w:left="-15" w:right="-8" w:firstLine="698"/>
        <w:jc w:val="both"/>
        <w:rPr>
          <w:color w:val="auto"/>
        </w:rPr>
      </w:pPr>
      <w:r w:rsidRPr="003E5794">
        <w:rPr>
          <w:rStyle w:val="pt-a0-000003"/>
          <w:rFonts w:ascii="Times New Roman" w:hAnsi="Times New Roman" w:cs="Times New Roman"/>
          <w:sz w:val="28"/>
          <w:szCs w:val="28"/>
        </w:rPr>
        <w:t>Проект приказа</w:t>
      </w:r>
      <w:r w:rsidR="00164FCE" w:rsidRPr="00FB3EF3">
        <w:rPr>
          <w:rFonts w:ascii="Times New Roman" w:eastAsia="Times New Roman" w:hAnsi="Times New Roman" w:cs="Times New Roman"/>
          <w:color w:val="auto"/>
          <w:sz w:val="28"/>
        </w:rPr>
        <w:t xml:space="preserve"> не содержит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</w:t>
      </w:r>
      <w:r w:rsidR="001871F8">
        <w:rPr>
          <w:rFonts w:ascii="Times New Roman" w:eastAsia="Times New Roman" w:hAnsi="Times New Roman" w:cs="Times New Roman"/>
          <w:color w:val="auto"/>
          <w:sz w:val="28"/>
        </w:rPr>
        <w:t xml:space="preserve">ее – обязательные требования), </w:t>
      </w:r>
      <w:r w:rsidR="00164FCE" w:rsidRPr="00FB3EF3">
        <w:rPr>
          <w:rFonts w:ascii="Times New Roman" w:eastAsia="Times New Roman" w:hAnsi="Times New Roman" w:cs="Times New Roman"/>
          <w:color w:val="auto"/>
          <w:sz w:val="28"/>
        </w:rPr>
        <w:t xml:space="preserve">соответствующего вида государственного контроля (надзора), вида </w:t>
      </w:r>
      <w:r w:rsidR="00164FCE" w:rsidRPr="00FB3EF3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разрешительной деятельности и предполагаемой ответственности за нарушение обязательных требований или последствиях их несоблюдения. </w:t>
      </w:r>
    </w:p>
    <w:p w14:paraId="6879962B" w14:textId="03C31C4E" w:rsidR="00164FCE" w:rsidRPr="00FB3EF3" w:rsidRDefault="00CA6D03" w:rsidP="00164FCE">
      <w:pPr>
        <w:spacing w:after="1" w:line="357" w:lineRule="auto"/>
        <w:ind w:left="-15" w:right="-8" w:firstLine="698"/>
        <w:jc w:val="both"/>
        <w:rPr>
          <w:color w:val="auto"/>
        </w:rPr>
      </w:pPr>
      <w:r w:rsidRPr="002855C2">
        <w:rPr>
          <w:rStyle w:val="pt-a0-000003"/>
          <w:rFonts w:ascii="Times New Roman" w:hAnsi="Times New Roman" w:cs="Times New Roman"/>
          <w:sz w:val="28"/>
          <w:szCs w:val="28"/>
        </w:rPr>
        <w:t>Проект приказа</w:t>
      </w:r>
      <w:r w:rsidR="00164FCE" w:rsidRPr="00046225">
        <w:rPr>
          <w:rFonts w:ascii="Times New Roman" w:eastAsia="Times New Roman" w:hAnsi="Times New Roman" w:cs="Times New Roman"/>
          <w:color w:val="auto"/>
          <w:sz w:val="28"/>
        </w:rPr>
        <w:t xml:space="preserve"> не</w:t>
      </w:r>
      <w:r w:rsidR="00164FCE" w:rsidRPr="00FB3EF3">
        <w:rPr>
          <w:rFonts w:ascii="Times New Roman" w:eastAsia="Times New Roman" w:hAnsi="Times New Roman" w:cs="Times New Roman"/>
          <w:color w:val="auto"/>
          <w:sz w:val="28"/>
        </w:rPr>
        <w:t xml:space="preserve"> противоречит положениям Договора о Евразийском экономическом союзе от 29 мая 2014 г</w:t>
      </w:r>
      <w:r w:rsidR="00AA013F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164FCE" w:rsidRPr="00FB3EF3">
        <w:rPr>
          <w:rFonts w:ascii="Times New Roman" w:eastAsia="Times New Roman" w:hAnsi="Times New Roman" w:cs="Times New Roman"/>
          <w:color w:val="auto"/>
          <w:sz w:val="28"/>
        </w:rPr>
        <w:t xml:space="preserve">, а также положениям иных международных договоров Российской Федерации. </w:t>
      </w:r>
    </w:p>
    <w:p w14:paraId="1B82D228" w14:textId="3C2B2EAE" w:rsidR="00FB7E88" w:rsidRPr="00CE243C" w:rsidRDefault="00FB7E88" w:rsidP="00FB7E88">
      <w:pPr>
        <w:pStyle w:val="pt-a-000002"/>
        <w:shd w:val="clear" w:color="auto" w:fill="FFFFFF"/>
        <w:spacing w:before="0" w:beforeAutospacing="0" w:after="0" w:afterAutospacing="0" w:line="360" w:lineRule="auto"/>
        <w:ind w:firstLine="706"/>
        <w:contextualSpacing/>
        <w:jc w:val="both"/>
        <w:rPr>
          <w:rStyle w:val="pt-a0-000003"/>
          <w:color w:val="000000"/>
          <w:sz w:val="28"/>
          <w:szCs w:val="28"/>
        </w:rPr>
      </w:pPr>
      <w:r w:rsidRPr="00FB7E88">
        <w:rPr>
          <w:rStyle w:val="pt-a0-000003"/>
          <w:color w:val="000000"/>
          <w:sz w:val="28"/>
          <w:szCs w:val="28"/>
        </w:rPr>
        <w:t xml:space="preserve">Принятие </w:t>
      </w:r>
      <w:r w:rsidR="0088142A">
        <w:rPr>
          <w:rStyle w:val="pt-a0-000003"/>
          <w:color w:val="000000"/>
          <w:sz w:val="28"/>
          <w:szCs w:val="28"/>
        </w:rPr>
        <w:t>п</w:t>
      </w:r>
      <w:r w:rsidRPr="00FB7E88">
        <w:rPr>
          <w:rStyle w:val="pt-a0-000003"/>
          <w:color w:val="000000"/>
          <w:sz w:val="28"/>
          <w:szCs w:val="28"/>
        </w:rPr>
        <w:t>роекта приказа не потребует дополнительных расходов со стороны субъектов электроэнергетики, потребителей электрической энергии, а также не потребует выделения средств из федерального бюджета и бюджетов субъектов Российской Федерации.</w:t>
      </w:r>
    </w:p>
    <w:p w14:paraId="04C4F68B" w14:textId="6F217CB4" w:rsidR="00164FCE" w:rsidRPr="00FB3EF3" w:rsidRDefault="00CA6D03" w:rsidP="00164FCE">
      <w:pPr>
        <w:spacing w:after="1" w:line="357" w:lineRule="auto"/>
        <w:ind w:left="-15" w:right="-8" w:firstLine="698"/>
        <w:jc w:val="both"/>
        <w:rPr>
          <w:color w:val="auto"/>
        </w:rPr>
      </w:pPr>
      <w:r w:rsidRPr="002855C2">
        <w:rPr>
          <w:rStyle w:val="pt-a0-000003"/>
          <w:rFonts w:ascii="Times New Roman" w:hAnsi="Times New Roman" w:cs="Times New Roman"/>
          <w:sz w:val="28"/>
          <w:szCs w:val="28"/>
        </w:rPr>
        <w:t>Проект приказа</w:t>
      </w:r>
      <w:r w:rsidR="00164FCE" w:rsidRPr="00FB3EF3">
        <w:rPr>
          <w:rFonts w:ascii="Times New Roman" w:eastAsia="Times New Roman" w:hAnsi="Times New Roman" w:cs="Times New Roman"/>
          <w:color w:val="auto"/>
          <w:sz w:val="28"/>
        </w:rPr>
        <w:t xml:space="preserve"> не повлияет на достижение целей государственных программ Российской Федерации. </w:t>
      </w:r>
    </w:p>
    <w:sectPr w:rsidR="00164FCE" w:rsidRPr="00FB3EF3" w:rsidSect="00F75655">
      <w:headerReference w:type="default" r:id="rId8"/>
      <w:footerReference w:type="defaul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3FE5" w14:textId="77777777" w:rsidR="002423CF" w:rsidRDefault="002423CF" w:rsidP="00FB7E88">
      <w:pPr>
        <w:spacing w:after="0" w:line="240" w:lineRule="auto"/>
      </w:pPr>
      <w:r>
        <w:separator/>
      </w:r>
    </w:p>
  </w:endnote>
  <w:endnote w:type="continuationSeparator" w:id="0">
    <w:p w14:paraId="541358A7" w14:textId="77777777" w:rsidR="002423CF" w:rsidRDefault="002423CF" w:rsidP="00FB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8873" w14:textId="22D635F3" w:rsidR="00FB7E88" w:rsidRDefault="00FB7E88">
    <w:pPr>
      <w:pStyle w:val="a6"/>
      <w:jc w:val="center"/>
    </w:pPr>
  </w:p>
  <w:p w14:paraId="3C577992" w14:textId="77777777" w:rsidR="00FB7E88" w:rsidRDefault="00FB7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4610A" w14:textId="77777777" w:rsidR="002423CF" w:rsidRDefault="002423CF" w:rsidP="00FB7E88">
      <w:pPr>
        <w:spacing w:after="0" w:line="240" w:lineRule="auto"/>
      </w:pPr>
      <w:r>
        <w:separator/>
      </w:r>
    </w:p>
  </w:footnote>
  <w:footnote w:type="continuationSeparator" w:id="0">
    <w:p w14:paraId="59FFA242" w14:textId="77777777" w:rsidR="002423CF" w:rsidRDefault="002423CF" w:rsidP="00FB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09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4F80C4" w14:textId="5C9CBF2D" w:rsidR="00F75655" w:rsidRPr="00F75655" w:rsidRDefault="00F7565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56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56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56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57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56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9805FC" w14:textId="77777777" w:rsidR="00F75655" w:rsidRDefault="00F756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930"/>
    <w:multiLevelType w:val="hybridMultilevel"/>
    <w:tmpl w:val="F8C2DC2E"/>
    <w:lvl w:ilvl="0" w:tplc="4A8E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43590A"/>
    <w:multiLevelType w:val="hybridMultilevel"/>
    <w:tmpl w:val="A574C23A"/>
    <w:lvl w:ilvl="0" w:tplc="2A5C7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B575BF"/>
    <w:multiLevelType w:val="hybridMultilevel"/>
    <w:tmpl w:val="1130CD38"/>
    <w:lvl w:ilvl="0" w:tplc="5A58346A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A5"/>
    <w:rsid w:val="00046225"/>
    <w:rsid w:val="00047113"/>
    <w:rsid w:val="00047264"/>
    <w:rsid w:val="0005669B"/>
    <w:rsid w:val="00062A8B"/>
    <w:rsid w:val="000B44B7"/>
    <w:rsid w:val="00122E27"/>
    <w:rsid w:val="00164FCE"/>
    <w:rsid w:val="0017761A"/>
    <w:rsid w:val="001871F8"/>
    <w:rsid w:val="002423CF"/>
    <w:rsid w:val="00254A4E"/>
    <w:rsid w:val="002855C2"/>
    <w:rsid w:val="002D0DB7"/>
    <w:rsid w:val="0033752E"/>
    <w:rsid w:val="00353F71"/>
    <w:rsid w:val="0036634A"/>
    <w:rsid w:val="00375F08"/>
    <w:rsid w:val="003E5794"/>
    <w:rsid w:val="004201CE"/>
    <w:rsid w:val="00434E4F"/>
    <w:rsid w:val="00481821"/>
    <w:rsid w:val="004919F4"/>
    <w:rsid w:val="004D6FAC"/>
    <w:rsid w:val="004E2C3F"/>
    <w:rsid w:val="00565F67"/>
    <w:rsid w:val="005934A6"/>
    <w:rsid w:val="005F37FD"/>
    <w:rsid w:val="00657DBF"/>
    <w:rsid w:val="006A52B3"/>
    <w:rsid w:val="006C76E3"/>
    <w:rsid w:val="006D3605"/>
    <w:rsid w:val="006E4260"/>
    <w:rsid w:val="00703746"/>
    <w:rsid w:val="007710C2"/>
    <w:rsid w:val="00790F16"/>
    <w:rsid w:val="008174BD"/>
    <w:rsid w:val="00831E54"/>
    <w:rsid w:val="00852F9E"/>
    <w:rsid w:val="00867AB0"/>
    <w:rsid w:val="0088142A"/>
    <w:rsid w:val="008A0D6A"/>
    <w:rsid w:val="008B3495"/>
    <w:rsid w:val="00902370"/>
    <w:rsid w:val="00961307"/>
    <w:rsid w:val="00985EF0"/>
    <w:rsid w:val="009A3FA5"/>
    <w:rsid w:val="009A609C"/>
    <w:rsid w:val="009C3A54"/>
    <w:rsid w:val="009E1867"/>
    <w:rsid w:val="00AA013F"/>
    <w:rsid w:val="00AC254B"/>
    <w:rsid w:val="00B06FD7"/>
    <w:rsid w:val="00BB5848"/>
    <w:rsid w:val="00BD22E8"/>
    <w:rsid w:val="00C118A1"/>
    <w:rsid w:val="00C5225F"/>
    <w:rsid w:val="00C5414C"/>
    <w:rsid w:val="00C603FD"/>
    <w:rsid w:val="00CA6D03"/>
    <w:rsid w:val="00CE243C"/>
    <w:rsid w:val="00D537EA"/>
    <w:rsid w:val="00D575EF"/>
    <w:rsid w:val="00DE3977"/>
    <w:rsid w:val="00E110FC"/>
    <w:rsid w:val="00E13813"/>
    <w:rsid w:val="00F1301F"/>
    <w:rsid w:val="00F75655"/>
    <w:rsid w:val="00F91329"/>
    <w:rsid w:val="00FB3EF3"/>
    <w:rsid w:val="00FB7E88"/>
    <w:rsid w:val="00FF09CF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F17C5"/>
  <w15:docId w15:val="{32A5EE46-3C9C-4109-9D53-2B9AD039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2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7264"/>
    <w:pPr>
      <w:spacing w:after="200" w:line="276" w:lineRule="auto"/>
      <w:ind w:left="720"/>
      <w:contextualSpacing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pt-a-000002">
    <w:name w:val="pt-a-000002"/>
    <w:basedOn w:val="a"/>
    <w:rsid w:val="0017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-a0-000003">
    <w:name w:val="pt-a0-000003"/>
    <w:rsid w:val="0017761A"/>
  </w:style>
  <w:style w:type="paragraph" w:styleId="a4">
    <w:name w:val="header"/>
    <w:basedOn w:val="a"/>
    <w:link w:val="a5"/>
    <w:uiPriority w:val="99"/>
    <w:unhideWhenUsed/>
    <w:rsid w:val="00FB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E88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B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E88"/>
    <w:rPr>
      <w:rFonts w:ascii="Calibri" w:eastAsia="Calibri" w:hAnsi="Calibri" w:cs="Calibri"/>
      <w:color w:val="00000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22E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E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2E27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E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2E27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2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2E2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EEBA-2BA3-43B2-B776-DDA4679F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 Михаил Анатольевич</dc:creator>
  <cp:keywords/>
  <dc:description/>
  <cp:lastModifiedBy>ТРУШИН Сергей Григорьевич</cp:lastModifiedBy>
  <cp:revision>5</cp:revision>
  <dcterms:created xsi:type="dcterms:W3CDTF">2025-02-06T05:48:00Z</dcterms:created>
  <dcterms:modified xsi:type="dcterms:W3CDTF">2025-02-25T15:27:00Z</dcterms:modified>
</cp:coreProperties>
</file>