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3429635</wp:posOffset>
            </wp:positionH>
            <wp:positionV relativeFrom="margin">
              <wp:posOffset>0</wp:posOffset>
            </wp:positionV>
            <wp:extent cx="670560" cy="7988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70560" cy="7988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53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441" w:right="407" w:bottom="599" w:left="1028" w:header="13" w:footer="171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9"/>
        <w:keepNext/>
        <w:keepLines/>
        <w:widowControl w:val="0"/>
        <w:shd w:val="clear" w:color="auto" w:fill="auto"/>
        <w:tabs>
          <w:tab w:pos="7834" w:val="left"/>
        </w:tabs>
        <w:bidi w:val="0"/>
        <w:spacing w:before="0" w:after="0" w:line="240" w:lineRule="auto"/>
        <w:ind w:left="0" w:right="0" w:firstLine="0"/>
        <w:jc w:val="righ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Министерство энергетики</w:t>
        <w:tab/>
        <w:t>|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76" w:lineRule="auto"/>
        <w:ind w:left="0" w:right="0" w:firstLine="0"/>
        <w:jc w:val="right"/>
        <w:rPr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368300</wp:posOffset>
                </wp:positionV>
                <wp:extent cx="1447800" cy="19494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780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(Минэнерго России)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40.30000000000001pt;margin-top:29.pt;width:114.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(Минэнерго России)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РОССИЙСКОЙ ФедерВЦ</w:t>
      </w:r>
      <w:r>
        <w:rPr>
          <w:rFonts w:ascii="Arial" w:eastAsia="Arial" w:hAnsi="Arial" w:cs="Arial"/>
          <w:color w:val="000000"/>
          <w:spacing w:val="0"/>
          <w:w w:val="70"/>
          <w:position w:val="0"/>
          <w:sz w:val="24"/>
          <w:szCs w:val="24"/>
          <w:shd w:val="clear" w:color="auto" w:fill="auto"/>
          <w:lang w:val="ru-RU" w:eastAsia="ru-RU" w:bidi="ru-RU"/>
        </w:rPr>
        <w:t>ТВРСТВОюстиция</w:t>
      </w:r>
      <w:r>
        <w:rPr>
          <w:smallCap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российскойфедерации | </w:t>
      </w: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■ ЗАРЕГИСТРИРОВАНО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Регистрационный №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-7^3/3'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Москва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60" w:line="28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форм и форматов предоставления исходных данных,</w:t>
        <w:br/>
        <w:t>учитываемых при разработке документов перспективного развития</w:t>
        <w:br/>
        <w:t>электроэнергетики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абзацем седьмым пункта 9 статьи 6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Федерального закона от 26 марта 2003 г. № 35-ФЗ «Об электроэнергетике»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пунктом 1 и подпунктом 4.2.14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25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пункта 4 Положения о Министерстве энергетики Российской Федерации, утвержденного постановлением Правительства Российской Федерации от 28 мая 2008 г. № 400 «О Министерстве энергетики Российской Федерации»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приказываю: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формы предоставления исходных данных, учитываемых при разработке документов перспективного развития электроэнергетики, согласно приложению № 1;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форматы предоставления исходных данных, учитываемых при разработке документов перспективного развития электроэнергетики, согласно приложению №2.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41" w:right="407" w:bottom="599" w:left="1028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24485" distB="247015" distL="0" distR="0" simplePos="0" relativeHeight="125829380" behindDoc="0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324485</wp:posOffset>
                </wp:positionV>
                <wp:extent cx="728345" cy="22225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834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Министр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1.649999999999999pt;margin-top:25.550000000000001pt;width:57.350000000000001pt;height:17.5pt;z-index:-125829373;mso-wrap-distance-left:0;mso-wrap-distance-top:25.550000000000001pt;mso-wrap-distance-right:0;mso-wrap-distance-bottom:19.44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Министр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14300" distB="0" distL="0" distR="0" simplePos="0" relativeHeight="125829382" behindDoc="0" locked="0" layoutInCell="1" allowOverlap="1">
            <wp:simplePos x="0" y="0"/>
            <wp:positionH relativeFrom="page">
              <wp:posOffset>3673475</wp:posOffset>
            </wp:positionH>
            <wp:positionV relativeFrom="paragraph">
              <wp:posOffset>114300</wp:posOffset>
            </wp:positionV>
            <wp:extent cx="1286510" cy="682625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286510" cy="6826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21310" distB="250190" distL="0" distR="0" simplePos="0" relativeHeight="125829383" behindDoc="0" locked="0" layoutInCell="1" allowOverlap="1">
                <wp:simplePos x="0" y="0"/>
                <wp:positionH relativeFrom="page">
                  <wp:posOffset>5898515</wp:posOffset>
                </wp:positionH>
                <wp:positionV relativeFrom="paragraph">
                  <wp:posOffset>321310</wp:posOffset>
                </wp:positionV>
                <wp:extent cx="1280160" cy="22225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016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Н.Г. Шульгинов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64.44999999999999pt;margin-top:25.300000000000001pt;width:100.8pt;height:17.5pt;z-index:-125829370;mso-wrap-distance-left:0;mso-wrap-distance-top:25.300000000000001pt;mso-wrap-distance-right:0;mso-wrap-distance-bottom:19.69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Н.Г. Шульгинов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№ 1</w:t>
        <w:br/>
        <w:t>к приказу Минэнерго России</w:t>
        <w:br/>
        <w:t>от &gt;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&gt;^/-^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022 г. №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ФОРМЫ ПРЕДОСТАВЛЕНИЯ ИСХОДНЫХ ДАННЫХ,</w:t>
        <w:br/>
        <w:t>УЧИТЫВАЕМЫХ ПРИ РАЗРАБОТКЕ ДОКУМЕНТОВ ПЕРСПЕКТИВНОГО РАЗВИТИЯ</w:t>
      </w:r>
      <w:bookmarkEnd w:id="2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ЭЛЕКТРОЭНЕРГЕТИКИ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righ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Форма 1</w:t>
      </w:r>
      <w:bookmarkEnd w:id="5"/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Сведения о реализуемых и планируемых к реализации на территории субъекта Российской Федерации в течение долгосрочного периода</w:t>
        <w:br/>
        <w:t>инвестиционных проектах, в том числе о создании новых производств (за исключением строительства объектов электроэнергетики),</w:t>
        <w:br/>
        <w:t>расширении, реконструкции, модернизации, консервации или выводе из эксплуатации производственных мощностей на действующих</w:t>
        <w:br/>
        <w:t>предприятиях потребителей электрической энергии, в отношении инвестиционных проектов потребителей электрической энергии,</w:t>
        <w:br/>
        <w:t>предполагающих технологическое присоединение к электрическим сетям энергопринимающих устройств, для которых в соответствии с</w:t>
        <w:br/>
        <w:t>критериями, установленными Правилами технологического присоединения энергопринимающих устройств потребителей электрической</w:t>
        <w:br/>
        <w:t>энергии, объектов по производству электрической энергии, а также объектов электросетевого хозяйства, принадлежащих сетевым организациям</w:t>
        <w:br/>
        <w:t>и иным лицам, к электрическим сетям, утвержденными постановлением Правительства Российской Федерации от 27 декабря 2004 г. № 861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footnoteReference w:id="2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footnoteReference w:id="3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  <w:br/>
        <w:t>требуется разработка схемы внешнего электроснабжения энергопринимающих устройств</w:t>
      </w:r>
    </w:p>
    <w:tbl>
      <w:tblPr>
        <w:tblOverlap w:val="never"/>
        <w:jc w:val="center"/>
        <w:tblLayout w:type="fixed"/>
      </w:tblPr>
      <w:tblGrid>
        <w:gridCol w:w="7123"/>
        <w:gridCol w:w="3850"/>
        <w:gridCol w:w="3974"/>
      </w:tblGrid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Предоставляют: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Сроки предоставления: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Периодичность предоставления: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Исполнительные органы субъектов Российской Федерации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 1 марта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 раз в 3 года начиная с 2023 г.</w:t>
            </w:r>
          </w:p>
        </w:tc>
      </w:tr>
    </w:tbl>
    <w:p>
      <w:pPr>
        <w:sectPr>
          <w:footnotePr>
            <w:pos w:val="pageBottom"/>
            <w:numFmt w:val="decimal"/>
            <w:numStart w:val="3"/>
            <w:numRestart w:val="continuous"/>
            <w15:footnoteColumns w:val="1"/>
          </w:footnotePr>
          <w:pgSz w:w="16840" w:h="11900" w:orient="landscape"/>
          <w:pgMar w:top="1013" w:right="379" w:bottom="793" w:left="573" w:header="585" w:footer="365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Наименование исполнительного органа субъекта Российской Федерации, предоставляющего информацию: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Код по ОКОГУ: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Наименование субъекта Российской Федерации: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Раздел 1. Сведения о реализуемых и планируемых к реализации на территории субъекта Российской Федерации крупных инвестиционных проектах, в том числе реконструкции, модернизации, консервации или выводе из эксплуатации производственных мощностей на действующих предприятиях потребителей электрической энергии</w:t>
      </w:r>
    </w:p>
    <w:tbl>
      <w:tblPr>
        <w:tblOverlap w:val="never"/>
        <w:jc w:val="center"/>
        <w:tblLayout w:type="fixed"/>
      </w:tblPr>
      <w:tblGrid>
        <w:gridCol w:w="586"/>
        <w:gridCol w:w="1435"/>
        <w:gridCol w:w="2002"/>
        <w:gridCol w:w="1555"/>
        <w:gridCol w:w="1584"/>
        <w:gridCol w:w="1709"/>
        <w:gridCol w:w="2352"/>
        <w:gridCol w:w="1867"/>
        <w:gridCol w:w="2477"/>
      </w:tblGrid>
      <w:tr>
        <w:trPr>
          <w:trHeight w:val="35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</w:t>
              <w:softHyphen/>
              <w:t>вание инвестици</w:t>
              <w:softHyphen/>
              <w:t>онного проекта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Коды основного и дополнитель- ного(-ых) видов деятельности юридических лиц (их обособленных подразделений) по общерос</w:t>
              <w:softHyphen/>
              <w:t>сийскому классификатору видов экономической деятельности (ОКВЭД2)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 типа инвестици</w:t>
              <w:softHyphen/>
              <w:t>онного проекта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Описание инвестици</w:t>
              <w:softHyphen/>
              <w:t>онного проекта (общая характерис</w:t>
              <w:softHyphen/>
              <w:t>тика объекта, основные виды товаров или услуг)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Размещение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и реквизиты документов, подтверждающих принадлежность инвестору (потребителю электрической энергии) земельного участка на праве собственности или ином законном основании</w:t>
            </w:r>
          </w:p>
        </w:tc>
      </w:tr>
      <w:tr>
        <w:trPr>
          <w:trHeight w:val="307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Фактический или планируемый адрес объекта инвестици</w:t>
              <w:softHyphen/>
              <w:t>онного проекта (производ</w:t>
              <w:softHyphen/>
              <w:t>ства)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Диспетчерские наименования подстанций высшим классом напряжения 110 кВ и выше, от которых планируется осуществлять электроснабжение объектов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Зона централизован</w:t>
              <w:softHyphen/>
              <w:t>ного или децентрализо</w:t>
              <w:softHyphen/>
              <w:t>ванного электроснаб</w:t>
              <w:softHyphen/>
              <w:t>жения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71"/>
        <w:gridCol w:w="1435"/>
        <w:gridCol w:w="2011"/>
        <w:gridCol w:w="1550"/>
        <w:gridCol w:w="1594"/>
        <w:gridCol w:w="1704"/>
        <w:gridCol w:w="2352"/>
        <w:gridCol w:w="1867"/>
        <w:gridCol w:w="2472"/>
      </w:tblGrid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инвестиционного проекта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99" w:line="1" w:lineRule="exact"/>
      </w:pPr>
    </w:p>
    <w:tbl>
      <w:tblPr>
        <w:tblOverlap w:val="never"/>
        <w:jc w:val="center"/>
        <w:tblLayout w:type="fixed"/>
      </w:tblPr>
      <w:tblGrid>
        <w:gridCol w:w="1819"/>
        <w:gridCol w:w="2789"/>
        <w:gridCol w:w="2270"/>
        <w:gridCol w:w="1939"/>
        <w:gridCol w:w="2635"/>
        <w:gridCol w:w="3658"/>
      </w:tblGrid>
      <w:tr>
        <w:trPr>
          <w:trHeight w:val="485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Показатели оценки вероятности реализации инвестиционного проекта</w:t>
            </w:r>
          </w:p>
        </w:tc>
      </w:tr>
      <w:tr>
        <w:trPr>
          <w:trHeight w:val="22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Текущий уровень реализации инвестицион</w:t>
              <w:softHyphen/>
              <w:t>ного проекта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Наличие утвержденной схемы внешнего электроснабжения (да или нет)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Наличие проектной декларации о намерениях с органами власти субъекта Российской Федерации (да или нет)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Наличие согласования материалов оценки воздействия на окружающую среду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Обеспеченность инвестиционного проекта источниками финансирования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Основной источник финансирования (при наличии), наименование кредитно- финансовой организации (при наличии банковских гарантий)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747"/>
        <w:gridCol w:w="1742"/>
        <w:gridCol w:w="1723"/>
        <w:gridCol w:w="1474"/>
        <w:gridCol w:w="1464"/>
        <w:gridCol w:w="2002"/>
        <w:gridCol w:w="926"/>
        <w:gridCol w:w="739"/>
        <w:gridCol w:w="1277"/>
        <w:gridCol w:w="1526"/>
        <w:gridCol w:w="1267"/>
      </w:tblGrid>
      <w:tr>
        <w:trPr>
          <w:trHeight w:val="58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Сроки реализации инвестиционного проекта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Объемы и динамика выпуска товаров (услуг)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Объемы и динамика инвестиций</w:t>
            </w:r>
          </w:p>
        </w:tc>
      </w:tr>
      <w:tr>
        <w:trPr>
          <w:trHeight w:val="108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Планируемый год запуска основного производства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Планируемый год начала строительно</w:t>
              <w:softHyphen/>
              <w:t>монтажных работ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Планируемый год выхода на проектную мощность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Основные виды товаров (услуг) и объем выпуска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Динамика изменения (нарастающим итогом) прироста выпусков по группам товаров (услуг) по годам до достижения проектной мощности (здесь и далее в настоящей таблице за год «14» принимается первый год периода времени продолжительностью 18 календарных лет подряд, который начинается через 1 год после года предоставления информации)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Объем инвестиций, млн.руб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Год, в ценах которого осущест</w:t>
              <w:softHyphen/>
              <w:t>вляются инвести</w:t>
              <w:softHyphen/>
              <w:t>ции</w:t>
            </w:r>
          </w:p>
        </w:tc>
      </w:tr>
      <w:tr>
        <w:trPr>
          <w:trHeight w:val="3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</w:t>
              <w:softHyphen/>
              <w:t>вание группы товаров (услуг) и единицы измерения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Существу</w:t>
              <w:softHyphen/>
              <w:t>ющий объем выпуска по каждой группе товаров (услуг)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Объем выпуска по каждой группе товаров (услуг) после реализации инвестицонного проекта (выхода на полную производственну ю мощность)</w:t>
            </w: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Год Г’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Год т 17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20.2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70"/>
        <w:gridCol w:w="869"/>
        <w:gridCol w:w="1032"/>
        <w:gridCol w:w="2323"/>
        <w:gridCol w:w="2443"/>
        <w:gridCol w:w="2434"/>
        <w:gridCol w:w="2640"/>
        <w:gridCol w:w="2774"/>
      </w:tblGrid>
      <w:tr>
        <w:trPr>
          <w:trHeight w:val="869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Объемы и динамика инвестиций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Энергетические показатели</w:t>
            </w:r>
          </w:p>
        </w:tc>
      </w:tr>
      <w:tr>
        <w:trPr>
          <w:trHeight w:val="1397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Динамика изменения инвестиций по годам (нарастающим итогом) до достижения проектной мощности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Годовой объем потребления электрической энергии за последний отчетный год, млн кВт-ч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Планируемый годовой объем потребления электрической энергии при достижении проектной мощности, млн кВт-ч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Максимальная величина потребления мощности за год, предшествующий году предоставления информации, МВт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Максимальная мощность объекта в соответствии с договором об осуществлении технологического присоединения к электрическим сетям (при наличии договора), МВт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Планируемое максимальное потребление мощности при достижении величины проектной мощности, МВт</w:t>
            </w:r>
          </w:p>
        </w:tc>
      </w:tr>
      <w:tr>
        <w:trPr>
          <w:trHeight w:val="13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Год 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Год Г+17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4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20.5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19" w:line="1" w:lineRule="exact"/>
      </w:pPr>
    </w:p>
    <w:tbl>
      <w:tblPr>
        <w:tblOverlap w:val="never"/>
        <w:jc w:val="left"/>
        <w:tblLayout w:type="fixed"/>
      </w:tblPr>
      <w:tblGrid>
        <w:gridCol w:w="1742"/>
        <w:gridCol w:w="1430"/>
        <w:gridCol w:w="1291"/>
        <w:gridCol w:w="1301"/>
        <w:gridCol w:w="1286"/>
        <w:gridCol w:w="1440"/>
        <w:gridCol w:w="1445"/>
        <w:gridCol w:w="1584"/>
        <w:gridCol w:w="2621"/>
      </w:tblGrid>
      <w:tr>
        <w:trPr>
          <w:trHeight w:val="326" w:hRule="exact"/>
        </w:trPr>
        <w:tc>
          <w:tcPr>
            <w:gridSpan w:val="8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Энергетические показатели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Примечания</w:t>
            </w:r>
          </w:p>
        </w:tc>
      </w:tr>
      <w:tr>
        <w:trPr>
          <w:trHeight w:val="710" w:hRule="exact"/>
        </w:trPr>
        <w:tc>
          <w:tcPr>
            <w:gridSpan w:val="8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Прирост (снижение) потребления электрической энергии (млн кВт-ч) и прирост потребления мощности (МВт) при достижении проектной мощности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0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млн кВт 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МВт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Год Г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Год Г+17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72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млн кВт 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МВт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млн кВт 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МВт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млн кВт 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МВт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12" w:hRule="exact"/>
        </w:trPr>
        <w:tc>
          <w:tcPr>
            <w:gridSpan w:val="8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27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26.1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26.2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26.3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26.5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26.6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26.7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26.8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9"/>
          <w:headerReference w:type="even" r:id="rId10"/>
          <w:footnotePr>
            <w:pos w:val="pageBottom"/>
            <w:numFmt w:val="decimal"/>
            <w:numStart w:val="3"/>
            <w:numRestart w:val="continuous"/>
            <w15:footnoteColumns w:val="1"/>
          </w:footnotePr>
          <w:pgSz w:w="16840" w:h="11900" w:orient="landscape"/>
          <w:pgMar w:top="1013" w:right="379" w:bottom="793" w:left="573" w:header="0" w:footer="365" w:gutter="0"/>
          <w:pgNumType w:start="2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Примечания: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9" w:val="left"/>
        </w:tabs>
        <w:bidi w:val="0"/>
        <w:spacing w:before="0" w:after="280" w:line="24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графе 4 указывается код типа инвестиционного проекта в соответствии с таблицей 1: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6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Таблица 1. Типы инвестиционных проектов</w:t>
      </w:r>
    </w:p>
    <w:tbl>
      <w:tblPr>
        <w:tblOverlap w:val="never"/>
        <w:jc w:val="center"/>
        <w:tblLayout w:type="fixed"/>
      </w:tblPr>
      <w:tblGrid>
        <w:gridCol w:w="1291"/>
        <w:gridCol w:w="8621"/>
      </w:tblGrid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Тип инвестиционного проекта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новое производство (новая площадка)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расширение производства (на существующей площадке)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реконструкция существующего производства (за исключением расширения производства)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закрытие производства (части производства)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5" w:val="left"/>
        </w:tabs>
        <w:bidi w:val="0"/>
        <w:spacing w:before="0" w:after="120" w:line="36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графе 10 указывается код текущего уровня реализации инвестиционного проекта в соответствии с таблицей 2.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6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Таблица 2. Уровни реализации инвестиционного проекта</w:t>
      </w:r>
    </w:p>
    <w:tbl>
      <w:tblPr>
        <w:tblOverlap w:val="never"/>
        <w:jc w:val="center"/>
        <w:tblLayout w:type="fixed"/>
      </w:tblPr>
      <w:tblGrid>
        <w:gridCol w:w="1291"/>
        <w:gridCol w:w="8626"/>
      </w:tblGrid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Уровень реализации инвестиционного проекта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начаты инженерные изыскания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ведутся инженерные изыскания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сформирован инвестиционный замысел (цели инвестирования) (без подготовки обоснования инвестиций или технико-экономического обоснования)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обоснование инвестиций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технико-экономическое обоснование (ТЭО)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проектирование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строительство (реконструкция)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15" w:val="left"/>
        </w:tabs>
        <w:bidi w:val="0"/>
        <w:spacing w:before="0" w:after="120" w:line="36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графе 14 указывается код уровня обеспеченности инвестиционного проекта источниками финансирования в соответствии с таблицей 3.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1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Таблица 3. Уровни обеспеченности инвестиционного проекта источниками финансирования</w:t>
      </w:r>
    </w:p>
    <w:tbl>
      <w:tblPr>
        <w:tblOverlap w:val="never"/>
        <w:jc w:val="center"/>
        <w:tblLayout w:type="fixed"/>
      </w:tblPr>
      <w:tblGrid>
        <w:gridCol w:w="1291"/>
        <w:gridCol w:w="8630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Уровень обеспеченности инвестиционного проекта источниками финансирования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источники финансирования не определены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имеются банковские гарантии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определенное бюджетное финансирование (софинансирование)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имеются государственные гарантии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финансирование за счет собственных инвестиционных источников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начато финансирование</w:t>
            </w:r>
          </w:p>
        </w:tc>
      </w:tr>
    </w:tbl>
    <w:p>
      <w:pPr>
        <w:sectPr>
          <w:headerReference w:type="default" r:id="rId11"/>
          <w:headerReference w:type="even" r:id="rId12"/>
          <w:footnotePr>
            <w:pos w:val="pageBottom"/>
            <w:numFmt w:val="decimal"/>
            <w:numStart w:val="3"/>
            <w:numRestart w:val="continuous"/>
            <w15:footnoteColumns w:val="1"/>
          </w:footnotePr>
          <w:pgSz w:w="11900" w:h="16840"/>
          <w:pgMar w:top="883" w:right="822" w:bottom="883" w:left="887" w:header="0" w:footer="45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33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Раздел 2. Контактная информация</w:t>
      </w:r>
    </w:p>
    <w:tbl>
      <w:tblPr>
        <w:tblOverlap w:val="never"/>
        <w:jc w:val="center"/>
        <w:tblLayout w:type="fixed"/>
      </w:tblPr>
      <w:tblGrid>
        <w:gridCol w:w="5318"/>
        <w:gridCol w:w="2722"/>
        <w:gridCol w:w="2093"/>
        <w:gridCol w:w="2026"/>
        <w:gridCol w:w="2774"/>
      </w:tblGrid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Контактная информация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Фамилия, имя, отчество (при наличии)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Должность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Номер телефона (с кодом города)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Адрес электронной почты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Руководитель исполнительного органа субъекта Российской Федерации, предоставляющего информацию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Ответственный за заполнение формы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19" w:line="1" w:lineRule="exact"/>
      </w:pP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480" w:firstLine="0"/>
        <w:jc w:val="right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Форма 2</w:t>
      </w:r>
      <w:bookmarkEnd w:id="7"/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Сведения об объектах по производству электрической энергии, функционирующих на основе использования возобновляемых источников</w:t>
        <w:br/>
        <w:t>энергии, включенных по результатам конкурсных отборов инвестиционных проектов по строительству генерирующих объектов,</w:t>
        <w:br/>
        <w:t>функционирующих на основе использования возобновляемых источников энергии, в реестр генерирующих объектов, функционирующих на</w:t>
        <w:br/>
        <w:t>основе использования возобновляемых источников энергии</w:t>
      </w:r>
    </w:p>
    <w:tbl>
      <w:tblPr>
        <w:tblOverlap w:val="never"/>
        <w:jc w:val="center"/>
        <w:tblLayout w:type="fixed"/>
      </w:tblPr>
      <w:tblGrid>
        <w:gridCol w:w="8755"/>
        <w:gridCol w:w="2578"/>
        <w:gridCol w:w="3490"/>
      </w:tblGrid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Предоставляют: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 предоставления: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Периодичность предоставления:</w:t>
            </w:r>
          </w:p>
        </w:tc>
      </w:tr>
      <w:tr>
        <w:trPr>
          <w:trHeight w:val="10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Исполнительные органы субъектов Российской Федерации, уполномоченные на формирование реестра генерирующих объектов, функционирующих на основе использования возобновляемых источников энергии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 1 июня года, следующего за отчетным годом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ежегодно</w:t>
            </w:r>
          </w:p>
        </w:tc>
      </w:tr>
    </w:tbl>
    <w:p>
      <w:pPr>
        <w:widowControl w:val="0"/>
        <w:spacing w:after="1399" w:line="1" w:lineRule="exact"/>
      </w:pP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Подпункт «б» пункта 20 Правил разработки и утверждения документов перспективного развития электроэнергетики, утвержденных постановлением Правительства Российской Федерации от 30 декабря 2022 г. № 2556 (Официальный интернет-портал правовой информации Ьйр://\у\узу.ргауо.§оу.ги, 23.01.2023, № 0001202301230025).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200" w:line="240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Наименование исполнительного органа субъекта Российской Федерации, предоставляющего информацию: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00" w:line="240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Код по ОКОГУ: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80" w:line="240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Наименование субъекта Российской Федерации: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Раздел 1. Информация о параметрах объявленного конкурсного отбора инвестиционных проектов по строительству генерирующих объектов, функционирующих на основе использования возобновляемых источников энергии (далее - конкурсный отбор, ВИЭ соответственно)</w:t>
      </w:r>
    </w:p>
    <w:tbl>
      <w:tblPr>
        <w:tblOverlap w:val="never"/>
        <w:jc w:val="center"/>
        <w:tblLayout w:type="fixed"/>
      </w:tblPr>
      <w:tblGrid>
        <w:gridCol w:w="2026"/>
        <w:gridCol w:w="2002"/>
        <w:gridCol w:w="2107"/>
        <w:gridCol w:w="2189"/>
        <w:gridCol w:w="2011"/>
        <w:gridCol w:w="4709"/>
      </w:tblGrid>
      <w:tr>
        <w:trPr>
          <w:trHeight w:val="29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Сроки проведения конкурсного отбора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Дата публикации информации о проведении конкурсного отбора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Данные о печатных изданиях, в которых были опубликованы сведения о сроке, месте и порядке предоставления конкурсной документации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Полное наименование организации - организатора конкурсного отбора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Принципы включения генерирующего объекта в региональные программы поддержки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Прогнозный объем потерь электрической энергии в сетях территориальных сетевых организаций, функционирующих в соответствующем субъекте Российской Федерации, определенный в сводном прогнозном балансе производства и поставок электрической энергии в рамках Единой энергетической системы России по субъектам Российской Федерации (для ценовой и неценовой зон), тысяч кВт час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left"/>
        <w:tblLayout w:type="fixed"/>
      </w:tblPr>
      <w:tblGrid>
        <w:gridCol w:w="3557"/>
        <w:gridCol w:w="2938"/>
        <w:gridCol w:w="2837"/>
        <w:gridCol w:w="2842"/>
      </w:tblGrid>
      <w:tr>
        <w:trPr>
          <w:trHeight w:val="3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Доля прогнозного объема потерь электрической энергии в сетях территориальных сетевых организаций, подлежащая первоочередному приобретению такими сетевыми организациями у производителей электрической энергии, функционирующих на основе использования ВИЭ, тысяч кВт • час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Совокупный прогнозный объем производства электрической энергии квалифицированными генерирующими объектами, функционирующими на основе использования ВИЭ, тысяч кВт • час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Доступный для участия в конкурсном отборе объем электрической энергии, тысяч кВт • час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Дата публикации информации об итогах конкурсного отбора (в формате дд.мм.гггг)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1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Раздел 2. Сводные данные о результатах конкурсного отбора</w:t>
      </w:r>
    </w:p>
    <w:tbl>
      <w:tblPr>
        <w:tblOverlap w:val="never"/>
        <w:jc w:val="left"/>
        <w:tblLayout w:type="fixed"/>
      </w:tblPr>
      <w:tblGrid>
        <w:gridCol w:w="1046"/>
        <w:gridCol w:w="9590"/>
        <w:gridCol w:w="1574"/>
      </w:tblGrid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Значение показателя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Совокупный отобранный объем электрической энергии по результатам конкурсного отбора, в том числе по типам ВИЭ, тысяч кВт • час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том числе отобранные объемы электрической энергии по типам ВИЭ, тысяч кВт • час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тип НМ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Раздел 3. Информация о генерирующих объектах, функционирующих на основе ВИЭ, - участниках конкурсного отбора</w:t>
      </w:r>
    </w:p>
    <w:tbl>
      <w:tblPr>
        <w:tblOverlap w:val="never"/>
        <w:jc w:val="center"/>
        <w:tblLayout w:type="fixed"/>
      </w:tblPr>
      <w:tblGrid>
        <w:gridCol w:w="1738"/>
        <w:gridCol w:w="1555"/>
        <w:gridCol w:w="1709"/>
        <w:gridCol w:w="2006"/>
        <w:gridCol w:w="1848"/>
        <w:gridCol w:w="1718"/>
        <w:gridCol w:w="1454"/>
        <w:gridCol w:w="1670"/>
        <w:gridCol w:w="1853"/>
      </w:tblGrid>
      <w:tr>
        <w:trPr>
          <w:trHeight w:val="3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генерирую</w:t>
              <w:softHyphen/>
              <w:t>щего объекта, участвующего в конкурсном отборе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Результаты конкурсного отбора в отношении каждого генериру</w:t>
              <w:softHyphen/>
              <w:t>ющего объекта (отобран/ не отобран)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Вид ВИЭ, используемый на генерирующем объекте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Планируемое местонахождение генерирующего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Полное наименование юридического лица или фамилия, имя, отчество (при наличии) индивидуаль</w:t>
              <w:softHyphen/>
              <w:t>ного предпринима</w:t>
              <w:softHyphen/>
              <w:t>теля - владельца генерирующего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Установлен</w:t>
              <w:softHyphen/>
              <w:t>ная электрическая мощность мощность генерирую</w:t>
              <w:softHyphen/>
              <w:t>щего объекта, кВт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Установлен</w:t>
              <w:softHyphen/>
              <w:t>ная тепловая мощность, генерирую</w:t>
              <w:softHyphen/>
              <w:t>щего объекта, Гкал/час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Плановая дата ввода генерирую</w:t>
              <w:softHyphen/>
              <w:t>щего объекта в эксплуатацию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Плановая величина стоимости производства одного мегаватт-часа электрической энергии (мощности), рублей/МВт-ч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19" w:line="1" w:lineRule="exact"/>
      </w:pPr>
    </w:p>
    <w:tbl>
      <w:tblPr>
        <w:tblOverlap w:val="never"/>
        <w:jc w:val="center"/>
        <w:tblLayout w:type="fixed"/>
      </w:tblPr>
      <w:tblGrid>
        <w:gridCol w:w="5568"/>
        <w:gridCol w:w="2280"/>
        <w:gridCol w:w="2006"/>
        <w:gridCol w:w="1925"/>
        <w:gridCol w:w="3595"/>
      </w:tblGrid>
      <w:tr>
        <w:trPr>
          <w:trHeight w:val="38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 возврата инвестированного капитала, определяемый в соответствии с пунктом 27 Методических указаний по установлению цен (тарифов) и (или) предельных (минимальных и (или) максимальных) уровней цен (тарифов) на электрическую энергию (мощность),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сетях, а также по установлению цен (тарифов) на электрическую энергию (мощность), производимую с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Базовый уровень нормы доходности капитала, инвестированного в генерирующий объект, определяемый в соответствии с пунктом 18 Методических указаний, 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Прогнозный объем производства электрической энергии генерирующим объектом, тысяч кВт час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Прогнозный объем производства тепловой энергии генерирующим объектом, Гкал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Прогнозная величина снижения стоимости электрической энергии в результате реализации инвестиционного проекта с использованием ВИЭ (для объектов, расположенных на территориях субъектов Российской Федерации, включенных в перечень технологически изолированных территориальных электроэнергетических систем, или расположенных на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578"/>
        <w:gridCol w:w="2294"/>
        <w:gridCol w:w="2002"/>
        <w:gridCol w:w="1944"/>
        <w:gridCol w:w="3605"/>
      </w:tblGrid>
      <w:tr>
        <w:trPr>
          <w:trHeight w:val="3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использованием квалифицированных генерирующих объектов, функционирующих в технологически изолированных территориальных электроэнергетических системах или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утвержденных приказом ФАС России от 14 февраля 2022 г. № 104/22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footnoteReference w:id="4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(далее - Методические указания),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системами), рублей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3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Раздел 4. Информация о генерирующих объектах, использующих ВИЭ, включенных в реестр генерирующих объектов, функционирующих на</w:t>
      </w:r>
      <w:r>
        <w:br w:type="page"/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1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основе использования возобновляемых источников энергии, субъекта Российской Федерации (далее - реестр)</w:t>
      </w:r>
    </w:p>
    <w:tbl>
      <w:tblPr>
        <w:tblOverlap w:val="never"/>
        <w:jc w:val="center"/>
        <w:tblLayout w:type="fixed"/>
      </w:tblPr>
      <w:tblGrid>
        <w:gridCol w:w="595"/>
        <w:gridCol w:w="2035"/>
        <w:gridCol w:w="1781"/>
        <w:gridCol w:w="2338"/>
        <w:gridCol w:w="2342"/>
        <w:gridCol w:w="1958"/>
        <w:gridCol w:w="2102"/>
        <w:gridCol w:w="2078"/>
      </w:tblGrid>
      <w:tr>
        <w:trPr>
          <w:trHeight w:val="3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генерирующего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Вид ВИЭ, используемого на генерирующем объекте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Местонахождение генерирующего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юридического лица или фамилия, имя, отчество (при наличии) индивидуального предпринимателя - владельца генерирующего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Установленная электрическая мощность генерирующего объекта, кВт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Дата проведения конкурсного отбора, на основе которого генерирующий объект включен в реестр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организатора конкурсного отбора, на основе которого генерирующий объект включен в реестр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99" w:line="1" w:lineRule="exact"/>
      </w:pP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Раздел 5. Контактная информация</w:t>
      </w:r>
    </w:p>
    <w:tbl>
      <w:tblPr>
        <w:tblOverlap w:val="never"/>
        <w:jc w:val="center"/>
        <w:tblLayout w:type="fixed"/>
      </w:tblPr>
      <w:tblGrid>
        <w:gridCol w:w="5318"/>
        <w:gridCol w:w="2712"/>
        <w:gridCol w:w="2102"/>
        <w:gridCol w:w="2477"/>
        <w:gridCol w:w="2515"/>
      </w:tblGrid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Контактная информация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Фамилия, имя, отчество (при наличии)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Должность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Номер телефона (с кодом города)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Адрес электронной почты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Руководитель исполнительного органа субъекта Российской Федерации, предоставляющего информацию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Ответственный за заполнение формы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3"/>
          <w:headerReference w:type="even" r:id="rId14"/>
          <w:footnotePr>
            <w:pos w:val="pageBottom"/>
            <w:numFmt w:val="decimal"/>
            <w:numStart w:val="4"/>
            <w:numRestart w:val="continuous"/>
            <w15:footnoteColumns w:val="1"/>
          </w:footnotePr>
          <w:pgSz w:w="16840" w:h="11900" w:orient="landscape"/>
          <w:pgMar w:top="1209" w:right="563" w:bottom="946" w:left="725" w:header="0" w:footer="518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240" w:after="520" w:line="264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№ 2</w:t>
        <w:br/>
        <w:t>к приказу Минэнерго России</w:t>
        <w:br/>
        <w:t>от «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&lt;/^^47^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022 г. №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ru-RU" w:eastAsia="ru-RU" w:bidi="ru-RU"/>
        </w:rPr>
        <w:t>/364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ФОРМАТЫ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266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ПРЕДОСТАВЛЕНИЯ ИСХОДНЫХ ДАННЫХ, УЧИТЫВАЕМЫХ ПРИ</w:t>
        <w:br/>
        <w:t>РАЗРАБОТКЕ ДОКУМЕНТОВ ПЕРСПЕКТИВНОГО РАЗВИТИЯ</w:t>
        <w:br/>
        <w:t>ЭЛЕКТРОЭНЕРГЕТИКИ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Исходные данные, учитываемые при разработке документов перспективного развития электроэнергетики (далее - исходные данные), предоставляются исполнительными органами субъектов Российской Федерации системному оператору электроэнергетических систем России (далее - системный оператор) в следующих форматах: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7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виде электронных файлов с расширением «бос», «босх», «гТГ», «х1з», «х1зх» или иных редактируемых форматах, поддерживаемых программным обеспечением, включенным в единый реестр российских программ для электронных вычислительных машин и баз данных в соответствии с 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утвержденными постановлением Правительства Российской Федерации от 16 ноября 2015 г. № 1236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erence w:id="5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- в случае предоставления исходных данных в электронном виде по адресу электронной почты системного оператора и (или) на электронном носителе посредством почтового отправления по адресу системного оператора с сопроводительным письмом за подписью уполномоченного должностного лица;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7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одном из форматов, указанных в подпункте «а» настоящего пункта, - в случае предоставления исходных данных с использованием сайта системного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оператора в информационно-телекоммуникационной сети «Интернет» или специализированного раздела такого сайта, предназначенного для размещения информации по вопросам планирования перспективного развития электроэнергетики, в соответствии с абзацем четвертым пункта 6 Правил разработки и утверждения документов перспективного развития электроэнергетики, утвержденных постановлением Правительства Российской Федерации от 30 декабря 2022 г. № 2556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erence w:id="6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В случае подписания предоставляемых исходных данных с использованием усиленной квалифицированной электронной подписи в дополнение к файлам с исходными данными в форматах, указанных в пункте 1 настоящего документа, предоставляется файл ключа сертификата электронной подписи с расширением «зщ».</w:t>
      </w:r>
    </w:p>
    <w:sectPr>
      <w:headerReference w:type="default" r:id="rId15"/>
      <w:headerReference w:type="even" r:id="rId16"/>
      <w:footnotePr>
        <w:pos w:val="pageBottom"/>
        <w:numFmt w:val="decimal"/>
        <w:numStart w:val="4"/>
        <w:numRestart w:val="continuous"/>
        <w15:footnoteColumns w:val="1"/>
      </w:footnotePr>
      <w:pgSz w:w="11900" w:h="16840"/>
      <w:pgMar w:top="1216" w:right="806" w:bottom="898" w:left="1115" w:header="0" w:footer="3" w:gutter="0"/>
      <w:pgNumType w:start="14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Собрание законодательства Российской Федерации, 2004, № 52, ст. 5525; 2022, № 27, ст. 4863.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Подпункт «а» пункта 20 Правил разработки и утверждения документов перспективного развития электроэнергетики, утвержденных постановлением Правительства Российской Федерации от 30 декабря 2022 г. № 2556 (Официальный интернет-портал правовой информации ЬНр.7/у/\у\у.ргауо.§оу.ги, 23.01.2023, № 0001202301230025).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Зарегистрирован Минюстом России 26 августа 2022 г., регистрационный № 69798.</w:t>
      </w:r>
    </w:p>
  </w:footnote>
  <w:footnote w:id="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Собрание законодательства Российской Федерации, 2015, № 47, ст. 6600; 2023, № 1, ст. 272.</w:t>
      </w:r>
    </w:p>
  </w:footnote>
  <w:footnote w:id="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Официальный интернет-портал правовой информации Ы1р:/Лулу\у.ргауо.§оу.ги, 23.01.2023, № 0001202301230025.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5224145</wp:posOffset>
              </wp:positionH>
              <wp:positionV relativeFrom="page">
                <wp:posOffset>228600</wp:posOffset>
              </wp:positionV>
              <wp:extent cx="130810" cy="10033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11.35000000000002pt;margin-top:18.pt;width:10.300000000000001pt;height:7.90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5224145</wp:posOffset>
              </wp:positionH>
              <wp:positionV relativeFrom="page">
                <wp:posOffset>228600</wp:posOffset>
              </wp:positionV>
              <wp:extent cx="130810" cy="10033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11.35000000000002pt;margin-top:18.pt;width:10.300000000000001pt;height:7.9000000000000004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3800475</wp:posOffset>
              </wp:positionH>
              <wp:positionV relativeFrom="page">
                <wp:posOffset>246380</wp:posOffset>
              </wp:positionV>
              <wp:extent cx="60960" cy="9779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99.25pt;margin-top:19.400000000000002pt;width:4.7999999999999998pt;height:7.7000000000000002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3800475</wp:posOffset>
              </wp:positionH>
              <wp:positionV relativeFrom="page">
                <wp:posOffset>246380</wp:posOffset>
              </wp:positionV>
              <wp:extent cx="60960" cy="9779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99.25pt;margin-top:19.400000000000002pt;width:4.7999999999999998pt;height:7.7000000000000002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5224145</wp:posOffset>
              </wp:positionH>
              <wp:positionV relativeFrom="page">
                <wp:posOffset>228600</wp:posOffset>
              </wp:positionV>
              <wp:extent cx="130810" cy="10033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11.35000000000002pt;margin-top:18.pt;width:10.300000000000001pt;height:7.9000000000000004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5224145</wp:posOffset>
              </wp:positionH>
              <wp:positionV relativeFrom="page">
                <wp:posOffset>228600</wp:posOffset>
              </wp:positionV>
              <wp:extent cx="130810" cy="10033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11.35000000000002pt;margin-top:18.pt;width:10.300000000000001pt;height:7.9000000000000004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3844290</wp:posOffset>
              </wp:positionH>
              <wp:positionV relativeFrom="page">
                <wp:posOffset>457835</wp:posOffset>
              </wp:positionV>
              <wp:extent cx="57785" cy="9779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02.69999999999999pt;margin-top:36.050000000000004pt;width:4.5499999999999998pt;height:7.7000000000000002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Сноска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Заголовок №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16">
    <w:name w:val="Основной текст (4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Заголовок №2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3">
    <w:name w:val="Заголовок №3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5">
    <w:name w:val="Другое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7">
    <w:name w:val="Колонтитул (2)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Подпись к таблице_"/>
    <w:basedOn w:val="DefaultParagraphFont"/>
    <w:link w:val="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3">
    <w:name w:val="Основной текст (3)_"/>
    <w:basedOn w:val="DefaultParagraphFont"/>
    <w:link w:val="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42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auto"/>
      <w:spacing w:line="360" w:lineRule="auto"/>
      <w:ind w:firstLine="5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auto"/>
      <w:jc w:val="right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auto"/>
      <w:spacing w:after="106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Заголовок №2"/>
    <w:basedOn w:val="Normal"/>
    <w:link w:val="CharStyle21"/>
    <w:pPr>
      <w:widowControl w:val="0"/>
      <w:shd w:val="clear" w:color="auto" w:fill="auto"/>
      <w:spacing w:after="15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2">
    <w:name w:val="Заголовок №3"/>
    <w:basedOn w:val="Normal"/>
    <w:link w:val="CharStyle23"/>
    <w:pPr>
      <w:widowControl w:val="0"/>
      <w:shd w:val="clear" w:color="auto" w:fill="auto"/>
      <w:spacing w:after="400"/>
      <w:ind w:right="240"/>
      <w:jc w:val="right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4">
    <w:name w:val="Другое"/>
    <w:basedOn w:val="Normal"/>
    <w:link w:val="CharStyle25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6">
    <w:name w:val="Колонтитул (2)"/>
    <w:basedOn w:val="Normal"/>
    <w:link w:val="CharStyle2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0">
    <w:name w:val="Подпись к таблице"/>
    <w:basedOn w:val="Normal"/>
    <w:link w:val="CharStyle3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32">
    <w:name w:val="Основной текст (3)"/>
    <w:basedOn w:val="Normal"/>
    <w:link w:val="CharStyle33"/>
    <w:pPr>
      <w:widowControl w:val="0"/>
      <w:shd w:val="clear" w:color="auto" w:fill="auto"/>
      <w:spacing w:after="4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/Relationships>
</file>