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1C7" w:rsidRPr="001F51C7" w:rsidRDefault="001F51C7" w:rsidP="001F51C7">
      <w:pPr>
        <w:pStyle w:val="ConsPlusTitle"/>
        <w:jc w:val="right"/>
        <w:rPr>
          <w:b w:val="0"/>
        </w:rPr>
      </w:pPr>
      <w:bookmarkStart w:id="0" w:name="P143"/>
      <w:bookmarkEnd w:id="0"/>
      <w:r w:rsidRPr="001F51C7">
        <w:rPr>
          <w:b w:val="0"/>
        </w:rPr>
        <w:t xml:space="preserve">Приложение к письму № _____от______________ </w:t>
      </w:r>
    </w:p>
    <w:p w:rsidR="001F51C7" w:rsidRPr="001F51C7" w:rsidRDefault="001F51C7">
      <w:pPr>
        <w:pStyle w:val="ConsPlusTitle"/>
        <w:jc w:val="center"/>
        <w:rPr>
          <w:b w:val="0"/>
        </w:rPr>
      </w:pPr>
    </w:p>
    <w:p w:rsidR="001F51C7" w:rsidRPr="001F51C7" w:rsidRDefault="001F51C7">
      <w:pPr>
        <w:pStyle w:val="ConsPlusTitle"/>
        <w:jc w:val="center"/>
        <w:rPr>
          <w:b w:val="0"/>
        </w:rPr>
      </w:pPr>
    </w:p>
    <w:p w:rsidR="00446F33" w:rsidRDefault="00446F33">
      <w:pPr>
        <w:pStyle w:val="ConsPlusTitle"/>
        <w:jc w:val="center"/>
      </w:pPr>
      <w:r>
        <w:t>Проект</w:t>
      </w:r>
      <w:r w:rsidR="00906E67">
        <w:t xml:space="preserve"> изменений в </w:t>
      </w:r>
      <w:r w:rsidR="00906E67" w:rsidRPr="00906E67">
        <w:t>Постановление П</w:t>
      </w:r>
      <w:r w:rsidR="00906E67">
        <w:t>равительства РФ от 29.12.2011 №</w:t>
      </w:r>
      <w:r w:rsidR="00906E67" w:rsidRPr="00906E67">
        <w:t>1178 (ред. от 31.12.2019) "О ценообразовании в области регулируемых цен (тарифов) в электроэнергетике" (вместе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применения) цен (тарифов) в электроэнергетике")</w:t>
      </w:r>
    </w:p>
    <w:p w:rsidR="00446F33" w:rsidRDefault="00446F33">
      <w:pPr>
        <w:pStyle w:val="ConsPlusTitle"/>
        <w:jc w:val="center"/>
      </w:pPr>
    </w:p>
    <w:p w:rsidR="008145C0" w:rsidRDefault="008145C0">
      <w:pPr>
        <w:pStyle w:val="ConsPlusNormal"/>
        <w:ind w:firstLine="540"/>
        <w:jc w:val="both"/>
      </w:pPr>
      <w:bookmarkStart w:id="1" w:name="P228"/>
      <w:bookmarkEnd w:id="1"/>
    </w:p>
    <w:p w:rsidR="00EC526F" w:rsidRPr="00322EDC" w:rsidRDefault="00EC526F" w:rsidP="00D357A9">
      <w:pPr>
        <w:autoSpaceDE w:val="0"/>
        <w:autoSpaceDN w:val="0"/>
        <w:adjustRightInd w:val="0"/>
        <w:spacing w:before="220" w:after="0" w:line="240" w:lineRule="auto"/>
        <w:ind w:firstLine="540"/>
        <w:jc w:val="both"/>
        <w:rPr>
          <w:rFonts w:asciiTheme="minorHAnsi" w:eastAsiaTheme="minorHAnsi" w:hAnsiTheme="minorHAnsi"/>
          <w:b/>
        </w:rPr>
      </w:pPr>
      <w:bookmarkStart w:id="2" w:name="P318"/>
      <w:bookmarkStart w:id="3" w:name="P337"/>
      <w:bookmarkStart w:id="4" w:name="P362"/>
      <w:bookmarkStart w:id="5" w:name="P384"/>
      <w:bookmarkStart w:id="6" w:name="P408"/>
      <w:bookmarkStart w:id="7" w:name="P427"/>
      <w:bookmarkStart w:id="8" w:name="P434"/>
      <w:bookmarkStart w:id="9" w:name="P437"/>
      <w:bookmarkStart w:id="10" w:name="P449"/>
      <w:bookmarkStart w:id="11" w:name="P479"/>
      <w:bookmarkStart w:id="12" w:name="P485"/>
      <w:bookmarkStart w:id="13" w:name="P490"/>
      <w:bookmarkStart w:id="14" w:name="P492"/>
      <w:bookmarkStart w:id="15" w:name="P504"/>
      <w:bookmarkStart w:id="16" w:name="P616"/>
      <w:bookmarkStart w:id="17" w:name="P639"/>
      <w:bookmarkStart w:id="18" w:name="P670"/>
      <w:bookmarkStart w:id="19" w:name="P683"/>
      <w:bookmarkStart w:id="20" w:name="P708"/>
      <w:bookmarkStart w:id="21" w:name="P721"/>
      <w:bookmarkStart w:id="22" w:name="P730"/>
      <w:bookmarkStart w:id="23" w:name="P746"/>
      <w:bookmarkStart w:id="24" w:name="P79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322EDC">
        <w:rPr>
          <w:rFonts w:asciiTheme="minorHAnsi" w:eastAsiaTheme="minorHAnsi" w:hAnsiTheme="minorHAnsi"/>
          <w:b/>
        </w:rPr>
        <w:t xml:space="preserve">Постановляющая часть </w:t>
      </w:r>
    </w:p>
    <w:p w:rsidR="00EC526F" w:rsidRPr="00906E67" w:rsidRDefault="00EC526F" w:rsidP="00D357A9">
      <w:pPr>
        <w:autoSpaceDE w:val="0"/>
        <w:autoSpaceDN w:val="0"/>
        <w:adjustRightInd w:val="0"/>
        <w:spacing w:before="220" w:after="0" w:line="240" w:lineRule="auto"/>
        <w:ind w:firstLine="540"/>
        <w:jc w:val="both"/>
        <w:rPr>
          <w:rFonts w:asciiTheme="minorHAnsi" w:eastAsiaTheme="minorHAnsi" w:hAnsiTheme="minorHAnsi"/>
        </w:rPr>
      </w:pPr>
      <w:r w:rsidRPr="00322EDC">
        <w:rPr>
          <w:rFonts w:asciiTheme="minorHAnsi" w:eastAsiaTheme="minorHAnsi" w:hAnsiTheme="minorHAnsi"/>
        </w:rPr>
        <w:t xml:space="preserve">Федеральной антимонопольной службе по </w:t>
      </w:r>
      <w:r w:rsidR="00BC2D3A" w:rsidRPr="00BC2D3A">
        <w:rPr>
          <w:rFonts w:asciiTheme="minorHAnsi" w:eastAsiaTheme="minorHAnsi" w:hAnsiTheme="minorHAnsi"/>
        </w:rPr>
        <w:t>согласованию</w:t>
      </w:r>
      <w:r w:rsidRPr="00322EDC">
        <w:rPr>
          <w:rFonts w:asciiTheme="minorHAnsi" w:eastAsiaTheme="minorHAnsi" w:hAnsiTheme="minorHAnsi"/>
        </w:rPr>
        <w:t xml:space="preserve"> с Министерством </w:t>
      </w:r>
      <w:r w:rsidR="00BC2D3A" w:rsidRPr="00BC2D3A">
        <w:rPr>
          <w:rFonts w:asciiTheme="minorHAnsi" w:eastAsiaTheme="minorHAnsi" w:hAnsiTheme="minorHAnsi"/>
        </w:rPr>
        <w:t>энергетики</w:t>
      </w:r>
      <w:r w:rsidR="00906E67">
        <w:rPr>
          <w:rFonts w:asciiTheme="minorHAnsi" w:eastAsiaTheme="minorHAnsi" w:hAnsiTheme="minorHAnsi"/>
        </w:rPr>
        <w:t xml:space="preserve"> Российской Ф</w:t>
      </w:r>
      <w:r w:rsidRPr="00322EDC">
        <w:rPr>
          <w:rFonts w:asciiTheme="minorHAnsi" w:eastAsiaTheme="minorHAnsi" w:hAnsiTheme="minorHAnsi"/>
        </w:rPr>
        <w:t xml:space="preserve">едерации </w:t>
      </w:r>
      <w:r w:rsidR="00827E1A">
        <w:rPr>
          <w:rFonts w:asciiTheme="minorHAnsi" w:eastAsiaTheme="minorHAnsi" w:hAnsiTheme="minorHAnsi"/>
        </w:rPr>
        <w:t xml:space="preserve">в трехмесячный срок </w:t>
      </w:r>
      <w:r w:rsidRPr="00322EDC">
        <w:rPr>
          <w:rFonts w:asciiTheme="minorHAnsi" w:eastAsiaTheme="minorHAnsi" w:hAnsiTheme="minorHAnsi"/>
        </w:rPr>
        <w:t xml:space="preserve">внести изменения в Порядок </w:t>
      </w:r>
      <w:r w:rsidR="00827E1A" w:rsidRPr="00906E67">
        <w:rPr>
          <w:rFonts w:asciiTheme="minorHAnsi" w:eastAsiaTheme="minorHAnsi" w:hAnsiTheme="minorHAnsi"/>
        </w:rPr>
        <w:t xml:space="preserve">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w:t>
      </w:r>
    </w:p>
    <w:p w:rsidR="008145C0" w:rsidRDefault="008145C0">
      <w:pPr>
        <w:pStyle w:val="ConsPlusNormal"/>
        <w:ind w:firstLine="540"/>
        <w:jc w:val="both"/>
      </w:pPr>
    </w:p>
    <w:p w:rsidR="00446F33" w:rsidRDefault="00446F33" w:rsidP="00446F33">
      <w:pPr>
        <w:pStyle w:val="ConsPlusTitle"/>
        <w:jc w:val="center"/>
      </w:pPr>
      <w:r>
        <w:t>Изменения в ОСНОВЫ ЦЕНООБРАЗОВАНИЯ</w:t>
      </w:r>
    </w:p>
    <w:p w:rsidR="00446F33" w:rsidRDefault="00446F33" w:rsidP="00446F33">
      <w:pPr>
        <w:pStyle w:val="ConsPlusTitle"/>
        <w:jc w:val="center"/>
      </w:pPr>
      <w:r>
        <w:t>В ОБЛАСТИ РЕГУЛИРУЕМЫХ ЦЕН (ТАРИФОВ) В ЭЛЕКТРОЭНЕРГЕТИКЕ</w:t>
      </w:r>
    </w:p>
    <w:p w:rsidR="00446F33" w:rsidRDefault="00446F33">
      <w:pPr>
        <w:pStyle w:val="ConsPlusNormal"/>
        <w:ind w:firstLine="540"/>
        <w:jc w:val="both"/>
      </w:pPr>
    </w:p>
    <w:p w:rsidR="008145C0" w:rsidRDefault="008145C0">
      <w:pPr>
        <w:pStyle w:val="ConsPlusNormal"/>
        <w:ind w:firstLine="540"/>
        <w:jc w:val="both"/>
      </w:pPr>
      <w:bookmarkStart w:id="25" w:name="P920"/>
      <w:bookmarkStart w:id="26" w:name="P934"/>
      <w:bookmarkStart w:id="27" w:name="P943"/>
      <w:bookmarkEnd w:id="25"/>
      <w:bookmarkEnd w:id="26"/>
      <w:bookmarkEnd w:id="27"/>
    </w:p>
    <w:p w:rsidR="008145C0" w:rsidRDefault="008145C0">
      <w:pPr>
        <w:pStyle w:val="ConsPlusTitle"/>
        <w:jc w:val="center"/>
        <w:outlineLvl w:val="1"/>
      </w:pPr>
      <w:bookmarkStart w:id="28" w:name="P991"/>
      <w:bookmarkEnd w:id="28"/>
      <w:r>
        <w:t>V. ФОРМИРОВАНИЕ СВОДНОГО ПРОГНОЗНОГО БАЛАНСА</w:t>
      </w:r>
    </w:p>
    <w:p w:rsidR="00385FA4" w:rsidRDefault="00385FA4">
      <w:pPr>
        <w:pStyle w:val="ConsPlusTitle"/>
        <w:jc w:val="center"/>
        <w:outlineLvl w:val="1"/>
      </w:pPr>
    </w:p>
    <w:p w:rsidR="00385FA4" w:rsidRPr="00AD20BB" w:rsidRDefault="00385FA4">
      <w:pPr>
        <w:pStyle w:val="ConsPlusTitle"/>
        <w:jc w:val="center"/>
        <w:outlineLvl w:val="1"/>
      </w:pPr>
    </w:p>
    <w:p w:rsidR="008145C0" w:rsidRPr="00AD20BB" w:rsidRDefault="00AD20BB">
      <w:pPr>
        <w:pStyle w:val="ConsPlusNormal"/>
        <w:ind w:firstLine="540"/>
        <w:jc w:val="both"/>
        <w:rPr>
          <w:b/>
        </w:rPr>
      </w:pPr>
      <w:r w:rsidRPr="00AD20BB">
        <w:rPr>
          <w:b/>
        </w:rPr>
        <w:t>Изложить пункт 59 в следующей редакции:</w:t>
      </w:r>
    </w:p>
    <w:p w:rsidR="00385FA4" w:rsidRPr="00385FA4" w:rsidRDefault="00385FA4" w:rsidP="00385FA4">
      <w:pPr>
        <w:tabs>
          <w:tab w:val="left" w:pos="1134"/>
        </w:tabs>
        <w:autoSpaceDE w:val="0"/>
        <w:autoSpaceDN w:val="0"/>
        <w:adjustRightInd w:val="0"/>
        <w:spacing w:after="0" w:line="240" w:lineRule="auto"/>
        <w:ind w:firstLine="709"/>
        <w:jc w:val="both"/>
        <w:rPr>
          <w:rFonts w:asciiTheme="minorHAnsi" w:hAnsiTheme="minorHAnsi"/>
        </w:rPr>
      </w:pPr>
      <w:r w:rsidRPr="00385FA4">
        <w:rPr>
          <w:rFonts w:asciiTheme="minorHAnsi" w:hAnsiTheme="minorHAnsi"/>
        </w:rPr>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385FA4" w:rsidRDefault="00385FA4" w:rsidP="00385FA4">
      <w:pPr>
        <w:tabs>
          <w:tab w:val="left" w:pos="1134"/>
        </w:tabs>
        <w:autoSpaceDE w:val="0"/>
        <w:autoSpaceDN w:val="0"/>
        <w:adjustRightInd w:val="0"/>
        <w:spacing w:after="0" w:line="240" w:lineRule="auto"/>
        <w:ind w:firstLine="709"/>
        <w:jc w:val="both"/>
        <w:rPr>
          <w:rFonts w:asciiTheme="minorHAnsi" w:hAnsiTheme="minorHAnsi"/>
        </w:rPr>
      </w:pPr>
      <w:r w:rsidRPr="00385FA4">
        <w:rPr>
          <w:rFonts w:asciiTheme="minorHAnsi" w:hAnsiTheme="minorHAnsi"/>
        </w:rP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0F449D" w:rsidRPr="004D4916" w:rsidRDefault="000F449D" w:rsidP="00385FA4">
      <w:pPr>
        <w:tabs>
          <w:tab w:val="left" w:pos="1134"/>
        </w:tabs>
        <w:autoSpaceDE w:val="0"/>
        <w:autoSpaceDN w:val="0"/>
        <w:adjustRightInd w:val="0"/>
        <w:spacing w:after="0" w:line="240" w:lineRule="auto"/>
        <w:ind w:firstLine="709"/>
        <w:jc w:val="both"/>
        <w:rPr>
          <w:rFonts w:asciiTheme="minorHAnsi" w:hAnsiTheme="minorHAnsi"/>
          <w:b/>
        </w:rPr>
      </w:pPr>
      <w:r w:rsidRPr="004D4916">
        <w:rPr>
          <w:rFonts w:asciiTheme="minorHAnsi" w:hAnsiTheme="minorHAnsi"/>
          <w:b/>
        </w:rPr>
        <w:t>Сводный прогнозный баланс Федеральная антимонопольная служба формирует на период не менее чем  3 года.</w:t>
      </w:r>
    </w:p>
    <w:p w:rsidR="00385FA4" w:rsidRDefault="00385FA4" w:rsidP="00385FA4">
      <w:pPr>
        <w:tabs>
          <w:tab w:val="left" w:pos="1134"/>
        </w:tabs>
        <w:autoSpaceDE w:val="0"/>
        <w:autoSpaceDN w:val="0"/>
        <w:adjustRightInd w:val="0"/>
        <w:spacing w:after="0" w:line="240" w:lineRule="auto"/>
        <w:ind w:firstLine="709"/>
        <w:jc w:val="both"/>
        <w:rPr>
          <w:rFonts w:asciiTheme="minorHAnsi" w:hAnsiTheme="minorHAnsi"/>
          <w:b/>
        </w:rPr>
      </w:pPr>
    </w:p>
    <w:p w:rsidR="00677517" w:rsidRPr="004D4916" w:rsidRDefault="00AC4861" w:rsidP="00385FA4">
      <w:pPr>
        <w:tabs>
          <w:tab w:val="left" w:pos="1134"/>
        </w:tabs>
        <w:autoSpaceDE w:val="0"/>
        <w:autoSpaceDN w:val="0"/>
        <w:adjustRightInd w:val="0"/>
        <w:spacing w:after="0" w:line="240" w:lineRule="auto"/>
        <w:ind w:firstLine="709"/>
        <w:jc w:val="both"/>
        <w:rPr>
          <w:rFonts w:asciiTheme="minorHAnsi" w:eastAsiaTheme="minorHAnsi" w:hAnsiTheme="minorHAnsi" w:cs="Calibri"/>
        </w:rPr>
      </w:pPr>
      <w:r w:rsidRPr="00322EDC">
        <w:rPr>
          <w:rFonts w:asciiTheme="minorHAnsi" w:hAnsiTheme="minorHAnsi"/>
          <w:b/>
        </w:rPr>
        <w:t>Новый пункт</w:t>
      </w:r>
      <w:r w:rsidRPr="00322EDC">
        <w:rPr>
          <w:rFonts w:asciiTheme="minorHAnsi" w:hAnsiTheme="minorHAnsi"/>
        </w:rPr>
        <w:t xml:space="preserve"> </w:t>
      </w:r>
      <w:r w:rsidR="00677517" w:rsidRPr="00322EDC">
        <w:rPr>
          <w:rFonts w:asciiTheme="minorHAnsi" w:hAnsiTheme="minorHAnsi"/>
          <w:b/>
        </w:rPr>
        <w:t>5</w:t>
      </w:r>
      <w:r w:rsidR="00385FA4">
        <w:rPr>
          <w:rFonts w:asciiTheme="minorHAnsi" w:hAnsiTheme="minorHAnsi"/>
          <w:b/>
        </w:rPr>
        <w:t>9</w:t>
      </w:r>
      <w:r w:rsidR="00677517" w:rsidRPr="00322EDC">
        <w:rPr>
          <w:rFonts w:asciiTheme="minorHAnsi" w:hAnsiTheme="minorHAnsi"/>
          <w:b/>
        </w:rPr>
        <w:t>.1</w:t>
      </w:r>
      <w:r w:rsidR="00677517" w:rsidRPr="00322EDC">
        <w:rPr>
          <w:rFonts w:asciiTheme="minorHAnsi" w:hAnsiTheme="minorHAnsi"/>
        </w:rPr>
        <w:t xml:space="preserve"> Формирование прогнозного баланса осуществляется в соответствии с порядком</w:t>
      </w:r>
      <w:r w:rsidR="00827E1A" w:rsidRPr="00385FA4">
        <w:rPr>
          <w:rFonts w:asciiTheme="minorHAnsi" w:hAnsiTheme="minorHAnsi"/>
        </w:rPr>
        <w:t xml:space="preserve"> </w:t>
      </w:r>
      <w:r w:rsidR="00827E1A" w:rsidRPr="00906E67">
        <w:rPr>
          <w:rFonts w:asciiTheme="minorHAnsi" w:hAnsiTheme="minorHAnsi"/>
        </w:rPr>
        <w:t xml:space="preserve">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r w:rsidR="00677517" w:rsidRPr="00EC2506">
        <w:rPr>
          <w:rFonts w:asciiTheme="minorHAnsi" w:hAnsiTheme="minorHAnsi"/>
        </w:rPr>
        <w:t xml:space="preserve">, </w:t>
      </w:r>
      <w:r w:rsidR="00677517" w:rsidRPr="00906E67">
        <w:rPr>
          <w:rFonts w:asciiTheme="minorHAnsi" w:hAnsiTheme="minorHAnsi"/>
        </w:rPr>
        <w:t>определяемым Федеральной антимонопольной службой, который должен</w:t>
      </w:r>
      <w:r w:rsidR="00677517" w:rsidRPr="00705485">
        <w:rPr>
          <w:rFonts w:asciiTheme="minorHAnsi" w:eastAsiaTheme="minorHAnsi" w:hAnsiTheme="minorHAnsi" w:cs="Calibri"/>
        </w:rPr>
        <w:t xml:space="preserve"> содержать, в том числ</w:t>
      </w:r>
      <w:r w:rsidR="00677517" w:rsidRPr="004D4916">
        <w:rPr>
          <w:rFonts w:asciiTheme="minorHAnsi" w:eastAsiaTheme="minorHAnsi" w:hAnsiTheme="minorHAnsi" w:cs="Calibri"/>
        </w:rPr>
        <w:t>е следующие положения:</w:t>
      </w:r>
    </w:p>
    <w:p w:rsidR="00EC526F" w:rsidRPr="000F449D" w:rsidRDefault="00677517" w:rsidP="00322EDC">
      <w:pPr>
        <w:pStyle w:val="a4"/>
        <w:tabs>
          <w:tab w:val="left" w:pos="1134"/>
        </w:tabs>
        <w:spacing w:after="0" w:line="240" w:lineRule="auto"/>
        <w:ind w:left="0" w:firstLine="709"/>
        <w:jc w:val="both"/>
        <w:rPr>
          <w:rFonts w:asciiTheme="minorHAnsi" w:hAnsiTheme="minorHAnsi"/>
        </w:rPr>
      </w:pPr>
      <w:r w:rsidRPr="004D4916">
        <w:rPr>
          <w:rFonts w:asciiTheme="minorHAnsi" w:hAnsiTheme="minorHAnsi"/>
        </w:rPr>
        <w:t xml:space="preserve">1) </w:t>
      </w:r>
      <w:r w:rsidR="00705485">
        <w:rPr>
          <w:rFonts w:asciiTheme="minorHAnsi" w:hAnsiTheme="minorHAnsi"/>
        </w:rPr>
        <w:t xml:space="preserve">Порядок (Методические рекомендации) по </w:t>
      </w:r>
      <w:r w:rsidR="000453FA" w:rsidRPr="004D4916">
        <w:rPr>
          <w:rFonts w:asciiTheme="minorHAnsi" w:hAnsiTheme="minorHAnsi"/>
        </w:rPr>
        <w:t xml:space="preserve"> формировани</w:t>
      </w:r>
      <w:r w:rsidR="00705485">
        <w:rPr>
          <w:rFonts w:asciiTheme="minorHAnsi" w:hAnsiTheme="minorHAnsi"/>
        </w:rPr>
        <w:t>ю</w:t>
      </w:r>
      <w:r w:rsidR="00906E67">
        <w:rPr>
          <w:rFonts w:asciiTheme="minorHAnsi" w:hAnsiTheme="minorHAnsi"/>
        </w:rPr>
        <w:t xml:space="preserve"> </w:t>
      </w:r>
      <w:r w:rsidR="000453FA" w:rsidRPr="004D4916">
        <w:rPr>
          <w:rFonts w:asciiTheme="minorHAnsi" w:hAnsiTheme="minorHAnsi"/>
        </w:rPr>
        <w:t xml:space="preserve"> прогнозных</w:t>
      </w:r>
      <w:r w:rsidR="000453FA" w:rsidRPr="00322EDC">
        <w:rPr>
          <w:rFonts w:asciiTheme="minorHAnsi" w:hAnsiTheme="minorHAnsi"/>
        </w:rPr>
        <w:t xml:space="preserve"> объемов поставки (покупки) электрической энергии и мощности</w:t>
      </w:r>
      <w:r w:rsidR="000453FA" w:rsidRPr="00EC2506">
        <w:rPr>
          <w:rFonts w:asciiTheme="minorHAnsi" w:hAnsiTheme="minorHAnsi"/>
        </w:rPr>
        <w:t>,</w:t>
      </w:r>
      <w:r w:rsidR="000453FA" w:rsidRPr="00705485">
        <w:rPr>
          <w:rFonts w:asciiTheme="minorHAnsi" w:hAnsiTheme="minorHAnsi"/>
        </w:rPr>
        <w:t xml:space="preserve"> включаемых в прогнозный баланс в целом по субъекту Российской Федерации, в том числе по каждой организации, являющейся субъектом </w:t>
      </w:r>
      <w:r w:rsidR="000453FA" w:rsidRPr="00705485">
        <w:rPr>
          <w:rFonts w:asciiTheme="minorHAnsi" w:hAnsiTheme="minorHAnsi"/>
        </w:rPr>
        <w:lastRenderedPageBreak/>
        <w:t>оптового или розничного рынка электрической энергии (мощности)</w:t>
      </w:r>
      <w:r w:rsidRPr="00705485">
        <w:rPr>
          <w:rFonts w:asciiTheme="minorHAnsi" w:hAnsiTheme="minorHAnsi"/>
        </w:rPr>
        <w:t xml:space="preserve">, </w:t>
      </w:r>
      <w:r w:rsidR="00322EDC" w:rsidRPr="00705485">
        <w:rPr>
          <w:rFonts w:asciiTheme="minorHAnsi" w:hAnsiTheme="minorHAnsi"/>
        </w:rPr>
        <w:t xml:space="preserve">на данных государственной статистической отчетности, утвержденных в установленном порядке, в том числе данных, предоставляемых в соответствии с формой № 46-ЭЭ (передача) «Сведения об отпуске (передаче) электроэнергии распределительными сетевыми организациями отдельным категориям потребителей </w:t>
      </w:r>
      <w:r w:rsidRPr="00705485">
        <w:rPr>
          <w:rFonts w:asciiTheme="minorHAnsi" w:hAnsiTheme="minorHAnsi"/>
          <w:lang w:val="en-US"/>
        </w:rPr>
        <w:t>c</w:t>
      </w:r>
      <w:r w:rsidRPr="00705485">
        <w:rPr>
          <w:rFonts w:asciiTheme="minorHAnsi" w:hAnsiTheme="minorHAnsi"/>
        </w:rPr>
        <w:t xml:space="preserve"> указанием используемых </w:t>
      </w:r>
      <w:r w:rsidR="00D45D1C" w:rsidRPr="000F449D">
        <w:rPr>
          <w:rFonts w:asciiTheme="minorHAnsi" w:hAnsiTheme="minorHAnsi"/>
        </w:rPr>
        <w:t xml:space="preserve">источников </w:t>
      </w:r>
      <w:r w:rsidRPr="000F449D">
        <w:rPr>
          <w:rFonts w:asciiTheme="minorHAnsi" w:hAnsiTheme="minorHAnsi"/>
        </w:rPr>
        <w:t>исходных данных.</w:t>
      </w:r>
    </w:p>
    <w:p w:rsidR="00385FA4" w:rsidRDefault="002A63AA" w:rsidP="00322EDC">
      <w:pPr>
        <w:autoSpaceDE w:val="0"/>
        <w:autoSpaceDN w:val="0"/>
        <w:adjustRightInd w:val="0"/>
        <w:spacing w:after="0" w:line="240" w:lineRule="auto"/>
        <w:ind w:firstLine="709"/>
        <w:jc w:val="both"/>
        <w:rPr>
          <w:rFonts w:asciiTheme="minorHAnsi" w:hAnsiTheme="minorHAnsi"/>
        </w:rPr>
      </w:pPr>
      <w:r w:rsidRPr="00385FA4">
        <w:rPr>
          <w:rFonts w:asciiTheme="minorHAnsi" w:hAnsiTheme="minorHAnsi"/>
        </w:rPr>
        <w:t xml:space="preserve">2) Порядок согласования предложений субъектов оптового и розничного рынков электрической энергии (мощности) в прогнозный баланс </w:t>
      </w:r>
      <w:r w:rsidRPr="004D4916">
        <w:rPr>
          <w:rFonts w:asciiTheme="minorHAnsi" w:hAnsiTheme="minorHAnsi"/>
        </w:rPr>
        <w:t>с органом исполнительной власти субъекта Российской Федерации</w:t>
      </w:r>
      <w:r w:rsidRPr="00385FA4">
        <w:rPr>
          <w:rFonts w:asciiTheme="minorHAnsi" w:hAnsiTheme="minorHAnsi"/>
        </w:rPr>
        <w:t>, содержащий в том числе положения, предусматривающие</w:t>
      </w:r>
      <w:r w:rsidR="00BC2D3A" w:rsidRPr="00385FA4">
        <w:rPr>
          <w:rFonts w:asciiTheme="minorHAnsi" w:hAnsiTheme="minorHAnsi"/>
        </w:rPr>
        <w:t>:</w:t>
      </w:r>
    </w:p>
    <w:p w:rsidR="00AC4861" w:rsidRPr="004D4916" w:rsidRDefault="00322EDC" w:rsidP="00322EDC">
      <w:pPr>
        <w:autoSpaceDE w:val="0"/>
        <w:autoSpaceDN w:val="0"/>
        <w:adjustRightInd w:val="0"/>
        <w:spacing w:after="0" w:line="240" w:lineRule="auto"/>
        <w:ind w:firstLine="709"/>
        <w:jc w:val="both"/>
        <w:rPr>
          <w:rFonts w:asciiTheme="minorHAnsi" w:hAnsiTheme="minorHAnsi"/>
        </w:rPr>
      </w:pPr>
      <w:r w:rsidRPr="00385FA4">
        <w:rPr>
          <w:rFonts w:asciiTheme="minorHAnsi" w:hAnsiTheme="minorHAnsi"/>
        </w:rPr>
        <w:t xml:space="preserve">проведение </w:t>
      </w:r>
      <w:r w:rsidRPr="004D4916">
        <w:rPr>
          <w:rFonts w:asciiTheme="minorHAnsi" w:hAnsiTheme="minorHAnsi"/>
        </w:rPr>
        <w:t xml:space="preserve">согласительных совещаний с формированием протоколов разногласий, </w:t>
      </w:r>
      <w:r w:rsidR="00BC2D3A" w:rsidRPr="004D4916">
        <w:rPr>
          <w:rFonts w:asciiTheme="minorHAnsi" w:hAnsiTheme="minorHAnsi"/>
        </w:rPr>
        <w:t>в случае, если предложения субъектов оптового и розничного рынков электрической энергии (мощности) в прогнозный баланс с органом исполнительной власти субъекта Российской Федерации не согласованы</w:t>
      </w:r>
      <w:r w:rsidRPr="004D4916">
        <w:rPr>
          <w:rFonts w:asciiTheme="minorHAnsi" w:hAnsiTheme="minorHAnsi"/>
        </w:rPr>
        <w:t>;</w:t>
      </w:r>
    </w:p>
    <w:p w:rsidR="00EC526F" w:rsidRPr="00AD20BB" w:rsidRDefault="00322EDC" w:rsidP="00AD20BB">
      <w:pPr>
        <w:autoSpaceDE w:val="0"/>
        <w:autoSpaceDN w:val="0"/>
        <w:adjustRightInd w:val="0"/>
        <w:spacing w:after="0" w:line="240" w:lineRule="auto"/>
        <w:ind w:firstLine="709"/>
        <w:jc w:val="both"/>
        <w:rPr>
          <w:rFonts w:asciiTheme="minorHAnsi" w:hAnsiTheme="minorHAnsi"/>
        </w:rPr>
      </w:pPr>
      <w:r w:rsidRPr="00322EDC">
        <w:rPr>
          <w:rFonts w:asciiTheme="minorHAnsi" w:hAnsiTheme="minorHAnsi"/>
        </w:rPr>
        <w:t xml:space="preserve">порядок направления органом исполнительной власти субъекта Российской Федерации </w:t>
      </w:r>
      <w:r w:rsidRPr="00EC2506">
        <w:rPr>
          <w:rFonts w:asciiTheme="minorHAnsi" w:hAnsiTheme="minorHAnsi"/>
        </w:rPr>
        <w:t>субъект</w:t>
      </w:r>
      <w:r w:rsidRPr="00705485">
        <w:rPr>
          <w:rFonts w:asciiTheme="minorHAnsi" w:hAnsiTheme="minorHAnsi"/>
        </w:rPr>
        <w:t xml:space="preserve">ам оптового и розничного рынков электрической энергии (мощности) информации об </w:t>
      </w:r>
      <w:r w:rsidRPr="00446F33">
        <w:rPr>
          <w:rFonts w:asciiTheme="minorHAnsi" w:hAnsiTheme="minorHAnsi"/>
        </w:rPr>
        <w:t xml:space="preserve">объемах поставки (покупки) электрической энергии и мощности, которые планируется включить в </w:t>
      </w:r>
      <w:r w:rsidRPr="004D4916">
        <w:rPr>
          <w:rFonts w:asciiTheme="minorHAnsi" w:hAnsiTheme="minorHAnsi"/>
        </w:rPr>
        <w:t>прогнозный баланс, в том числе с указанием причин отклонений от предложений в прогнозный баланс, направленных субъектами оптового и (или) розничного рынков электрической энергии (мощности).</w:t>
      </w:r>
    </w:p>
    <w:p w:rsidR="00EC526F" w:rsidRPr="004D4916" w:rsidRDefault="00677517" w:rsidP="00322EDC">
      <w:pPr>
        <w:pStyle w:val="a4"/>
        <w:tabs>
          <w:tab w:val="left" w:pos="1134"/>
        </w:tabs>
        <w:spacing w:after="0" w:line="240" w:lineRule="auto"/>
        <w:ind w:left="0" w:firstLine="709"/>
        <w:jc w:val="both"/>
        <w:rPr>
          <w:rFonts w:asciiTheme="minorHAnsi" w:hAnsiTheme="minorHAnsi"/>
        </w:rPr>
      </w:pPr>
      <w:r w:rsidRPr="00385FA4">
        <w:rPr>
          <w:rFonts w:asciiTheme="minorHAnsi" w:hAnsiTheme="minorHAnsi"/>
        </w:rPr>
        <w:t>3) Формы предоставления орган</w:t>
      </w:r>
      <w:r w:rsidR="00D45D1C" w:rsidRPr="00385FA4">
        <w:rPr>
          <w:rFonts w:asciiTheme="minorHAnsi" w:hAnsiTheme="minorHAnsi"/>
        </w:rPr>
        <w:t>ом</w:t>
      </w:r>
      <w:r w:rsidRPr="00385FA4">
        <w:rPr>
          <w:rFonts w:asciiTheme="minorHAnsi" w:hAnsiTheme="minorHAnsi"/>
        </w:rPr>
        <w:t xml:space="preserve"> исполнительной власти субъект</w:t>
      </w:r>
      <w:r w:rsidR="00D45D1C" w:rsidRPr="00385FA4">
        <w:rPr>
          <w:rFonts w:asciiTheme="minorHAnsi" w:hAnsiTheme="minorHAnsi"/>
        </w:rPr>
        <w:t>а</w:t>
      </w:r>
      <w:r w:rsidRPr="00385FA4">
        <w:rPr>
          <w:rFonts w:asciiTheme="minorHAnsi" w:hAnsiTheme="minorHAnsi"/>
        </w:rPr>
        <w:t xml:space="preserve"> Российской Федерации в </w:t>
      </w:r>
      <w:r w:rsidR="00191328" w:rsidRPr="00EC2506">
        <w:rPr>
          <w:rFonts w:asciiTheme="minorHAnsi" w:hAnsiTheme="minorHAnsi"/>
        </w:rPr>
        <w:t>Федеральную антимонопольную службу</w:t>
      </w:r>
      <w:r w:rsidRPr="00EC2506">
        <w:rPr>
          <w:rFonts w:asciiTheme="minorHAnsi" w:hAnsiTheme="minorHAnsi"/>
        </w:rPr>
        <w:t xml:space="preserve"> информации </w:t>
      </w:r>
      <w:r w:rsidR="009F73F1" w:rsidRPr="00705485">
        <w:rPr>
          <w:rFonts w:asciiTheme="minorHAnsi" w:hAnsiTheme="minorHAnsi"/>
        </w:rPr>
        <w:t xml:space="preserve">в </w:t>
      </w:r>
      <w:r w:rsidRPr="00705485">
        <w:rPr>
          <w:rFonts w:asciiTheme="minorHAnsi" w:hAnsiTheme="minorHAnsi"/>
        </w:rPr>
        <w:t xml:space="preserve">целях </w:t>
      </w:r>
      <w:r w:rsidR="00191328" w:rsidRPr="00705485">
        <w:rPr>
          <w:rFonts w:asciiTheme="minorHAnsi" w:hAnsiTheme="minorHAnsi"/>
        </w:rPr>
        <w:t>сводного прогнозного баланса</w:t>
      </w:r>
      <w:r w:rsidR="00D305F4" w:rsidRPr="004D4916">
        <w:rPr>
          <w:rFonts w:asciiTheme="minorHAnsi" w:hAnsiTheme="minorHAnsi"/>
        </w:rPr>
        <w:t>, содержащие, в том числе:</w:t>
      </w:r>
    </w:p>
    <w:p w:rsidR="00EC526F" w:rsidRPr="004D4916" w:rsidRDefault="009F73F1" w:rsidP="00322EDC">
      <w:pPr>
        <w:pStyle w:val="a4"/>
        <w:tabs>
          <w:tab w:val="left" w:pos="1134"/>
        </w:tabs>
        <w:spacing w:after="0" w:line="240" w:lineRule="auto"/>
        <w:ind w:left="0" w:firstLine="709"/>
        <w:jc w:val="both"/>
      </w:pPr>
      <w:r w:rsidRPr="004D4916">
        <w:rPr>
          <w:rFonts w:asciiTheme="minorHAnsi" w:hAnsiTheme="minorHAnsi"/>
        </w:rPr>
        <w:t xml:space="preserve">сведения </w:t>
      </w:r>
      <w:r w:rsidR="00D305F4" w:rsidRPr="004D4916">
        <w:rPr>
          <w:rFonts w:asciiTheme="minorHAnsi" w:hAnsiTheme="minorHAnsi"/>
        </w:rPr>
        <w:t xml:space="preserve">об </w:t>
      </w:r>
      <w:r w:rsidR="002A63AA" w:rsidRPr="004D4916">
        <w:t>объемах, предлагаемых субъектами оптового и розничного рынк</w:t>
      </w:r>
      <w:r w:rsidR="00D45D1C" w:rsidRPr="004D4916">
        <w:t>ов</w:t>
      </w:r>
      <w:r w:rsidR="002A63AA" w:rsidRPr="004D4916">
        <w:t xml:space="preserve"> электрической энергии (мощности); </w:t>
      </w:r>
    </w:p>
    <w:p w:rsidR="00EC526F" w:rsidRPr="00AD20BB" w:rsidRDefault="002A63AA" w:rsidP="00AD20BB">
      <w:pPr>
        <w:pStyle w:val="a4"/>
        <w:tabs>
          <w:tab w:val="left" w:pos="1134"/>
        </w:tabs>
        <w:spacing w:after="0" w:line="240" w:lineRule="auto"/>
        <w:ind w:left="0" w:firstLine="709"/>
        <w:jc w:val="both"/>
        <w:rPr>
          <w:rFonts w:asciiTheme="minorHAnsi" w:hAnsiTheme="minorHAnsi"/>
        </w:rPr>
      </w:pPr>
      <w:r w:rsidRPr="004D4916">
        <w:t>сведения об объемах, учтенных органом исполнительной власти субъекта Российской Федерации с указанием причины отклонения от предложений субъектов оптового и розничного рынк</w:t>
      </w:r>
      <w:r w:rsidR="00D45D1C" w:rsidRPr="004D4916">
        <w:t>ов</w:t>
      </w:r>
      <w:r w:rsidRPr="004D4916">
        <w:t xml:space="preserve"> электрической энергии (мощности) </w:t>
      </w:r>
      <w:r w:rsidR="00D305F4" w:rsidRPr="004D4916">
        <w:t>с приложением протоколов согласительных мероприятий</w:t>
      </w:r>
      <w:r w:rsidR="00F61105" w:rsidRPr="00322EDC">
        <w:t>.</w:t>
      </w:r>
    </w:p>
    <w:p w:rsidR="00EC526F" w:rsidRPr="004D4916" w:rsidRDefault="00322EDC" w:rsidP="00322EDC">
      <w:pPr>
        <w:pStyle w:val="a4"/>
        <w:tabs>
          <w:tab w:val="left" w:pos="1134"/>
        </w:tabs>
        <w:spacing w:after="0" w:line="240" w:lineRule="auto"/>
        <w:ind w:left="0" w:firstLine="709"/>
        <w:jc w:val="both"/>
        <w:rPr>
          <w:rFonts w:asciiTheme="minorHAnsi" w:hAnsiTheme="minorHAnsi"/>
        </w:rPr>
      </w:pPr>
      <w:r>
        <w:rPr>
          <w:rFonts w:asciiTheme="minorHAnsi" w:hAnsiTheme="minorHAnsi"/>
        </w:rPr>
        <w:t>4</w:t>
      </w:r>
      <w:r w:rsidR="002A63AA" w:rsidRPr="00322EDC">
        <w:rPr>
          <w:rFonts w:asciiTheme="minorHAnsi" w:hAnsiTheme="minorHAnsi"/>
        </w:rPr>
        <w:t xml:space="preserve">) Порядок информационного обмена между участниками процесса формирования </w:t>
      </w:r>
      <w:r w:rsidR="002A63AA" w:rsidRPr="00EC2506">
        <w:rPr>
          <w:rFonts w:asciiTheme="minorHAnsi" w:hAnsiTheme="minorHAnsi"/>
        </w:rPr>
        <w:t xml:space="preserve">прогнозного баланса, </w:t>
      </w:r>
      <w:r w:rsidR="002A63AA" w:rsidRPr="00705485">
        <w:rPr>
          <w:rFonts w:asciiTheme="minorHAnsi" w:hAnsiTheme="minorHAnsi"/>
        </w:rPr>
        <w:t>в том числе участвующими в процессе тарифного регулирования,</w:t>
      </w:r>
      <w:r w:rsidR="002A63AA" w:rsidRPr="000F449D">
        <w:rPr>
          <w:rFonts w:asciiTheme="minorHAnsi" w:hAnsiTheme="minorHAnsi"/>
        </w:rPr>
        <w:t xml:space="preserve"> посредствам </w:t>
      </w:r>
      <w:r w:rsidR="002A63AA" w:rsidRPr="004D4916">
        <w:rPr>
          <w:rFonts w:asciiTheme="minorHAnsi" w:hAnsiTheme="minorHAnsi"/>
        </w:rPr>
        <w:t>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AC4861" w:rsidRPr="00322EDC" w:rsidRDefault="00322EDC" w:rsidP="00322EDC">
      <w:pPr>
        <w:autoSpaceDE w:val="0"/>
        <w:autoSpaceDN w:val="0"/>
        <w:adjustRightInd w:val="0"/>
        <w:spacing w:after="0" w:line="240" w:lineRule="auto"/>
        <w:ind w:firstLine="709"/>
        <w:jc w:val="both"/>
        <w:rPr>
          <w:rFonts w:asciiTheme="minorHAnsi" w:hAnsiTheme="minorHAnsi"/>
        </w:rPr>
      </w:pPr>
      <w:r>
        <w:rPr>
          <w:rFonts w:asciiTheme="minorHAnsi" w:hAnsiTheme="minorHAnsi"/>
        </w:rPr>
        <w:t>5</w:t>
      </w:r>
      <w:r w:rsidR="002A63AA" w:rsidRPr="00322EDC">
        <w:rPr>
          <w:rFonts w:asciiTheme="minorHAnsi" w:hAnsiTheme="minorHAnsi"/>
        </w:rPr>
        <w:t xml:space="preserve">) </w:t>
      </w:r>
      <w:r w:rsidR="00AC4861" w:rsidRPr="004D4916">
        <w:rPr>
          <w:rFonts w:asciiTheme="minorHAnsi" w:hAnsiTheme="minorHAnsi"/>
        </w:rPr>
        <w:t>Порядок проведения согласительных процедур Федеральной антимонопольной службой по предложениям в прогнозный баланс с органами исполнительной власти субъекта Российской Федерации и субъектами оптового и розничного рынков электрической энергии (мощности), содержащий</w:t>
      </w:r>
      <w:r w:rsidRPr="004D4916">
        <w:rPr>
          <w:rFonts w:asciiTheme="minorHAnsi" w:hAnsiTheme="minorHAnsi"/>
        </w:rPr>
        <w:t>,</w:t>
      </w:r>
      <w:r w:rsidR="00AC4861" w:rsidRPr="004D4916">
        <w:rPr>
          <w:rFonts w:asciiTheme="minorHAnsi" w:hAnsiTheme="minorHAnsi"/>
        </w:rPr>
        <w:t xml:space="preserve"> в том числе положения, предусматривающие:</w:t>
      </w:r>
    </w:p>
    <w:p w:rsidR="00AC4861" w:rsidRPr="004D4916" w:rsidRDefault="00AC4861" w:rsidP="00322EDC">
      <w:pPr>
        <w:pStyle w:val="a4"/>
        <w:tabs>
          <w:tab w:val="left" w:pos="1134"/>
        </w:tabs>
        <w:spacing w:after="0" w:line="240" w:lineRule="auto"/>
        <w:ind w:left="0" w:firstLine="709"/>
        <w:jc w:val="both"/>
        <w:rPr>
          <w:rFonts w:asciiTheme="minorHAnsi" w:hAnsiTheme="minorHAnsi"/>
        </w:rPr>
      </w:pPr>
      <w:r w:rsidRPr="00322EDC">
        <w:rPr>
          <w:rFonts w:asciiTheme="minorHAnsi" w:hAnsiTheme="minorHAnsi"/>
        </w:rPr>
        <w:t>п</w:t>
      </w:r>
      <w:r w:rsidR="002A63AA" w:rsidRPr="00322EDC">
        <w:rPr>
          <w:rFonts w:asciiTheme="minorHAnsi" w:hAnsiTheme="minorHAnsi"/>
        </w:rPr>
        <w:t>орядок проведения согласительных совещаний в Федеральной антимонопольной службе для урегулирования разногласий</w:t>
      </w:r>
      <w:r w:rsidR="002A63AA" w:rsidRPr="00EC2506">
        <w:rPr>
          <w:rFonts w:asciiTheme="minorHAnsi" w:hAnsiTheme="minorHAnsi"/>
        </w:rPr>
        <w:t xml:space="preserve"> по объемам</w:t>
      </w:r>
      <w:r w:rsidR="002A63AA" w:rsidRPr="00705485">
        <w:rPr>
          <w:rFonts w:asciiTheme="minorHAnsi" w:hAnsiTheme="minorHAnsi"/>
        </w:rPr>
        <w:t xml:space="preserve"> </w:t>
      </w:r>
      <w:r w:rsidR="005A7C1A" w:rsidRPr="00705485">
        <w:rPr>
          <w:rFonts w:asciiTheme="minorHAnsi" w:hAnsiTheme="minorHAnsi"/>
        </w:rPr>
        <w:t>поставки (покупки) электрической энергии и мощности,</w:t>
      </w:r>
      <w:r w:rsidR="002A63AA" w:rsidRPr="004D4916">
        <w:rPr>
          <w:rFonts w:asciiTheme="minorHAnsi" w:hAnsiTheme="minorHAnsi"/>
        </w:rPr>
        <w:t xml:space="preserve"> включенным в прогнозный баланс</w:t>
      </w:r>
      <w:r w:rsidRPr="004D4916">
        <w:rPr>
          <w:rFonts w:asciiTheme="minorHAnsi" w:hAnsiTheme="minorHAnsi"/>
        </w:rPr>
        <w:t>:</w:t>
      </w:r>
    </w:p>
    <w:p w:rsidR="00AC4861" w:rsidRPr="004D4916" w:rsidRDefault="00AC4861" w:rsidP="00AC4861">
      <w:pPr>
        <w:autoSpaceDE w:val="0"/>
        <w:autoSpaceDN w:val="0"/>
        <w:adjustRightInd w:val="0"/>
        <w:spacing w:after="0" w:line="240" w:lineRule="auto"/>
        <w:ind w:firstLine="709"/>
        <w:jc w:val="both"/>
        <w:rPr>
          <w:rFonts w:asciiTheme="minorHAnsi" w:hAnsiTheme="minorHAnsi"/>
        </w:rPr>
      </w:pPr>
      <w:r w:rsidRPr="004D4916">
        <w:rPr>
          <w:rFonts w:asciiTheme="minorHAnsi" w:hAnsiTheme="minorHAnsi"/>
        </w:rPr>
        <w:t>учет Федеральной антимонопольной службой согласованных предложений в прогнозном балансе без корректировок, в случае, если предложения субъектов оптового и розничного рынков электрической энергии (мощности) в прогнозный баланс с органом исполнительной власти субъекта Российской Федерации согласованы</w:t>
      </w:r>
    </w:p>
    <w:p w:rsidR="00EC526F" w:rsidRDefault="00322EDC" w:rsidP="00322EDC">
      <w:pPr>
        <w:pStyle w:val="a4"/>
        <w:tabs>
          <w:tab w:val="left" w:pos="1134"/>
        </w:tabs>
        <w:spacing w:after="0" w:line="240" w:lineRule="auto"/>
        <w:ind w:left="0" w:firstLine="709"/>
        <w:jc w:val="both"/>
        <w:rPr>
          <w:rFonts w:eastAsia="Times New Roman" w:cs="Calibri"/>
          <w:szCs w:val="20"/>
          <w:lang w:eastAsia="ru-RU"/>
        </w:rPr>
      </w:pPr>
      <w:r>
        <w:rPr>
          <w:rFonts w:eastAsia="Times New Roman" w:cs="Calibri"/>
          <w:szCs w:val="20"/>
          <w:lang w:eastAsia="ru-RU"/>
        </w:rPr>
        <w:t>6</w:t>
      </w:r>
      <w:r w:rsidR="00677517" w:rsidRPr="00322EDC">
        <w:rPr>
          <w:rFonts w:eastAsia="Times New Roman" w:cs="Calibri"/>
          <w:szCs w:val="20"/>
          <w:lang w:eastAsia="ru-RU"/>
        </w:rPr>
        <w:t xml:space="preserve">) Порядок направления уведомлений о допуске к торговой системе на </w:t>
      </w:r>
      <w:r w:rsidR="00F61105" w:rsidRPr="00322EDC">
        <w:rPr>
          <w:rFonts w:eastAsia="Times New Roman" w:cs="Calibri"/>
          <w:szCs w:val="20"/>
          <w:lang w:eastAsia="ru-RU"/>
        </w:rPr>
        <w:t xml:space="preserve">оптовом рынке электрической энергии (мощности) </w:t>
      </w:r>
      <w:r w:rsidR="00F61105" w:rsidRPr="004D4916">
        <w:t>со стороны АО «АТС» в ФАС России и одновременно в органы исполнительной власти субъекта РФ</w:t>
      </w:r>
    </w:p>
    <w:p w:rsidR="00AD20BB" w:rsidRPr="00AD20BB" w:rsidRDefault="00AD20BB" w:rsidP="00AD20BB">
      <w:pPr>
        <w:pStyle w:val="ConsPlusTitle"/>
        <w:jc w:val="center"/>
        <w:outlineLvl w:val="1"/>
      </w:pPr>
    </w:p>
    <w:p w:rsidR="00367F4F" w:rsidRPr="00AD20BB" w:rsidRDefault="00AD20BB" w:rsidP="00AD20BB">
      <w:pPr>
        <w:pStyle w:val="ConsPlusNormal"/>
        <w:ind w:firstLine="539"/>
        <w:jc w:val="both"/>
        <w:rPr>
          <w:b/>
        </w:rPr>
      </w:pPr>
      <w:r w:rsidRPr="00AD20BB">
        <w:rPr>
          <w:b/>
        </w:rPr>
        <w:t xml:space="preserve">Изложить пункт </w:t>
      </w:r>
      <w:r>
        <w:rPr>
          <w:b/>
        </w:rPr>
        <w:t>60</w:t>
      </w:r>
      <w:r w:rsidRPr="00AD20BB">
        <w:rPr>
          <w:b/>
        </w:rPr>
        <w:t xml:space="preserve"> в следующей редакции:</w:t>
      </w:r>
    </w:p>
    <w:p w:rsidR="008145C0" w:rsidRDefault="008145C0" w:rsidP="00AD20BB">
      <w:pPr>
        <w:pStyle w:val="ConsPlusNormal"/>
        <w:ind w:firstLine="539"/>
        <w:jc w:val="both"/>
      </w:pPr>
      <w:bookmarkStart w:id="29" w:name="P996"/>
      <w:bookmarkEnd w:id="29"/>
      <w:r>
        <w:t xml:space="preserve">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w:t>
      </w:r>
      <w:r>
        <w:lastRenderedPageBreak/>
        <w:t>625. Указанная величина рассчитывается в определяемом Федеральной антимонопольной службой порядке.</w:t>
      </w:r>
    </w:p>
    <w:p w:rsidR="008145C0" w:rsidRDefault="008145C0">
      <w:pPr>
        <w:pStyle w:val="ConsPlusNormal"/>
        <w:spacing w:before="220"/>
        <w:ind w:firstLine="540"/>
        <w:jc w:val="both"/>
      </w:pPr>
      <w:r>
        <w:t>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В отношении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такие объемы не могут превышать 5 процентов объема производства электрической энергии и мощности, определенных в прогнозном балансе на соответствующий период регулирования для соответствующей гидроэлектростанции.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rsidR="008145C0" w:rsidRDefault="008145C0">
      <w:pPr>
        <w:pStyle w:val="ConsPlusNormal"/>
        <w:spacing w:before="220"/>
        <w:ind w:firstLine="540"/>
        <w:jc w:val="both"/>
      </w:pPr>
      <w:r>
        <w:t xml:space="preserve">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w:t>
      </w:r>
      <w:proofErr w:type="spellStart"/>
      <w:r>
        <w:t>энергосбытовых</w:t>
      </w:r>
      <w:proofErr w:type="spellEnd"/>
      <w:r>
        <w:t xml:space="preserve"> и </w:t>
      </w:r>
      <w:proofErr w:type="spellStart"/>
      <w:r>
        <w:t>энергоснабжающих</w:t>
      </w:r>
      <w:proofErr w:type="spellEnd"/>
      <w:r>
        <w:t xml:space="preserve">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3E3B18" w:rsidRPr="004D4916" w:rsidRDefault="003E3B18" w:rsidP="00906E67">
      <w:pPr>
        <w:spacing w:after="1" w:line="200" w:lineRule="atLeast"/>
        <w:ind w:firstLine="567"/>
        <w:jc w:val="both"/>
        <w:rPr>
          <w:b/>
        </w:rPr>
      </w:pPr>
      <w:r w:rsidRPr="004D4916">
        <w:rPr>
          <w:b/>
        </w:rPr>
        <w:t xml:space="preserve">Формирование прогнозных объемов покупки электрической энергии на оптовом </w:t>
      </w:r>
      <w:r w:rsidR="00322EDC">
        <w:rPr>
          <w:b/>
        </w:rPr>
        <w:t xml:space="preserve">и розничных </w:t>
      </w:r>
      <w:r w:rsidRPr="004D4916">
        <w:rPr>
          <w:b/>
        </w:rPr>
        <w:t>рынк</w:t>
      </w:r>
      <w:r w:rsidR="00322EDC">
        <w:rPr>
          <w:b/>
        </w:rPr>
        <w:t>ах</w:t>
      </w:r>
      <w:r w:rsidRPr="004D4916">
        <w:rPr>
          <w:b/>
        </w:rPr>
        <w:t xml:space="preserve"> осуществляется в соответствии с </w:t>
      </w:r>
      <w:r w:rsidR="00705485">
        <w:rPr>
          <w:b/>
        </w:rPr>
        <w:t>Порядком (</w:t>
      </w:r>
      <w:r w:rsidRPr="004D4916">
        <w:rPr>
          <w:b/>
        </w:rPr>
        <w:t>Методическими указаниями</w:t>
      </w:r>
      <w:r w:rsidR="00705485">
        <w:rPr>
          <w:b/>
        </w:rPr>
        <w:t>)</w:t>
      </w:r>
      <w:r w:rsidRPr="004D4916">
        <w:rPr>
          <w:b/>
        </w:rPr>
        <w:t xml:space="preserve">, разработанным </w:t>
      </w:r>
      <w:r w:rsidR="008A42E0" w:rsidRPr="004D4916">
        <w:rPr>
          <w:b/>
        </w:rPr>
        <w:t>Федеральной антимонопольной службой</w:t>
      </w:r>
      <w:r w:rsidRPr="004D4916">
        <w:rPr>
          <w:b/>
        </w:rPr>
        <w:t xml:space="preserve"> с учетом данных о фактическом потреблении электрической энергии субъектами оптового рынка и данных о фактическом объеме продажи электрической энергии и мощности пр</w:t>
      </w:r>
      <w:bookmarkStart w:id="30" w:name="P28"/>
      <w:bookmarkStart w:id="31" w:name="P34"/>
      <w:bookmarkStart w:id="32" w:name="P71"/>
      <w:bookmarkEnd w:id="30"/>
      <w:bookmarkEnd w:id="31"/>
      <w:bookmarkEnd w:id="32"/>
      <w:r w:rsidRPr="004D4916">
        <w:rPr>
          <w:b/>
        </w:rPr>
        <w:t xml:space="preserve">оизводителям и потребителям на розничном рынке электрической энергии (мощности) в предшествующие периоды, а также изменения прогноза спроса по территориям субъектов Российской Федерации в периоде регулирования относительно предшествующих периодов. </w:t>
      </w:r>
    </w:p>
    <w:p w:rsidR="00063454" w:rsidRPr="00AD20BB" w:rsidRDefault="003E3B18" w:rsidP="00AD20BB">
      <w:pPr>
        <w:tabs>
          <w:tab w:val="left" w:pos="1134"/>
        </w:tabs>
        <w:autoSpaceDE w:val="0"/>
        <w:autoSpaceDN w:val="0"/>
        <w:adjustRightInd w:val="0"/>
        <w:spacing w:after="0" w:line="240" w:lineRule="auto"/>
        <w:ind w:firstLine="709"/>
        <w:jc w:val="both"/>
        <w:rPr>
          <w:rFonts w:eastAsia="Times New Roman" w:cs="Calibri"/>
          <w:szCs w:val="20"/>
          <w:lang w:eastAsia="ru-RU"/>
        </w:rPr>
      </w:pPr>
      <w:r w:rsidRPr="004D4916">
        <w:rPr>
          <w:rFonts w:eastAsia="Times New Roman" w:cs="Calibri"/>
          <w:b/>
          <w:szCs w:val="20"/>
          <w:lang w:eastAsia="ru-RU"/>
        </w:rPr>
        <w:t xml:space="preserve">При этом, информация о фактических объемах потребления и продажи электрической энергии и мощности устанавливается с учетом данных государственной статистической отчетности. </w:t>
      </w:r>
    </w:p>
    <w:p w:rsidR="008145C0" w:rsidRDefault="008145C0">
      <w:pPr>
        <w:pStyle w:val="ConsPlusNormal"/>
        <w:spacing w:before="220"/>
        <w:ind w:firstLine="540"/>
        <w:jc w:val="both"/>
      </w:pPr>
      <w:r>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rsidR="00F913B0" w:rsidRDefault="008145C0" w:rsidP="00F913B0">
      <w:pPr>
        <w:pStyle w:val="ConsPlusNormal"/>
        <w:spacing w:before="220"/>
        <w:ind w:firstLine="540"/>
        <w:jc w:val="both"/>
      </w:pPr>
      <w:r>
        <w:lastRenderedPageBreak/>
        <w:t>Балансовые решения принимаются не позднее чем за 2 месяца до начала соответствующего периода регулирования</w:t>
      </w:r>
      <w:r w:rsidR="00DA6483">
        <w:t xml:space="preserve">, </w:t>
      </w:r>
      <w:r w:rsidR="00DA6483" w:rsidRPr="004D4916">
        <w:rPr>
          <w:b/>
        </w:rPr>
        <w:t>продолжительностью не менее трех лет</w:t>
      </w:r>
      <w:r>
        <w:t>. Срок принятия балансовых решений может быть продлен Федеральной антимонопольной службой, но не более чем на 30 дней.</w:t>
      </w:r>
    </w:p>
    <w:p w:rsidR="008145C0" w:rsidRDefault="008145C0" w:rsidP="00F913B0">
      <w:pPr>
        <w:pStyle w:val="ConsPlusNormal"/>
        <w:spacing w:before="220"/>
        <w:ind w:firstLine="540"/>
        <w:jc w:val="both"/>
      </w:pPr>
      <w:r>
        <w:t>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органами исполнительной власти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rsidR="00EC526F" w:rsidRPr="004D4916" w:rsidRDefault="002A63AA" w:rsidP="004D4916">
      <w:pPr>
        <w:pStyle w:val="ConsPlusNormal"/>
        <w:ind w:firstLine="709"/>
        <w:jc w:val="both"/>
        <w:rPr>
          <w:b/>
        </w:rPr>
      </w:pPr>
      <w:r w:rsidRPr="004D4916">
        <w:rPr>
          <w:b/>
        </w:rPr>
        <w:t xml:space="preserve">Потери электрической энергии и мощности при ее передаче по электрическим сетям территориальных сетевых организаций отражаются в </w:t>
      </w:r>
      <w:r w:rsidR="008A42E0" w:rsidRPr="004D4916">
        <w:rPr>
          <w:b/>
        </w:rPr>
        <w:t xml:space="preserve">сводном </w:t>
      </w:r>
      <w:r w:rsidRPr="004D4916">
        <w:rPr>
          <w:b/>
        </w:rPr>
        <w:t xml:space="preserve">прогнозном балансе на соответствующий период регулирования по каждой сетевой организации в соответствующем субъекте Российской Федерации. В случае, если сетевая организация приобретает электрическую энергию и мощность в целях компенсации потерь в своих сетях у нескольких гарантирующих поставщиков или </w:t>
      </w:r>
      <w:proofErr w:type="spellStart"/>
      <w:r w:rsidRPr="004D4916">
        <w:rPr>
          <w:b/>
        </w:rPr>
        <w:t>энергосбытовых</w:t>
      </w:r>
      <w:proofErr w:type="spellEnd"/>
      <w:r w:rsidRPr="004D4916">
        <w:rPr>
          <w:b/>
        </w:rPr>
        <w:t xml:space="preserve"> организаций, то потери электрической энергии и мощности отражаются по каждой сетевой организации для каждого гарантирующего поставщика и каждой </w:t>
      </w:r>
      <w:proofErr w:type="spellStart"/>
      <w:r w:rsidRPr="004D4916">
        <w:rPr>
          <w:b/>
        </w:rPr>
        <w:t>энергосбытовой</w:t>
      </w:r>
      <w:proofErr w:type="spellEnd"/>
      <w:r w:rsidRPr="004D4916">
        <w:rPr>
          <w:b/>
        </w:rPr>
        <w:t xml:space="preserve"> организации</w:t>
      </w:r>
      <w:r w:rsidR="000F449D">
        <w:rPr>
          <w:b/>
        </w:rPr>
        <w:t xml:space="preserve"> по группе точек поставки с выделением также объемов</w:t>
      </w:r>
      <w:r w:rsidR="000F449D" w:rsidRPr="000F449D">
        <w:rPr>
          <w:b/>
        </w:rPr>
        <w:t xml:space="preserve"> </w:t>
      </w:r>
      <w:r w:rsidR="000F449D" w:rsidRPr="00AE69EF">
        <w:rPr>
          <w:b/>
        </w:rPr>
        <w:t>потер</w:t>
      </w:r>
      <w:r w:rsidR="000F449D">
        <w:rPr>
          <w:b/>
        </w:rPr>
        <w:t>ь</w:t>
      </w:r>
      <w:r w:rsidR="000F449D" w:rsidRPr="00AE69EF">
        <w:rPr>
          <w:b/>
        </w:rPr>
        <w:t xml:space="preserve"> электрической энергии и мощности по каждой сетевой организации</w:t>
      </w:r>
      <w:r w:rsidR="000F449D">
        <w:rPr>
          <w:b/>
        </w:rPr>
        <w:t xml:space="preserve"> для ценовых, неценовых и изолированных зон</w:t>
      </w:r>
      <w:r w:rsidRPr="004D4916">
        <w:rPr>
          <w:b/>
        </w:rPr>
        <w:t>.</w:t>
      </w:r>
    </w:p>
    <w:p w:rsidR="008145C0" w:rsidRDefault="008145C0">
      <w:pPr>
        <w:pStyle w:val="ConsPlusNormal"/>
        <w:spacing w:before="220"/>
        <w:ind w:firstLine="540"/>
        <w:jc w:val="both"/>
      </w:pPr>
      <w: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6" w:history="1">
        <w:r w:rsidRPr="0039519F">
          <w:t>распоряжением</w:t>
        </w:r>
      </w:hyperlink>
      <w:r>
        <w:t xml:space="preserve">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перечне.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перечне.</w:t>
      </w:r>
    </w:p>
    <w:p w:rsidR="008145C0" w:rsidRDefault="008145C0">
      <w:pPr>
        <w:pStyle w:val="ConsPlusNormal"/>
        <w:spacing w:before="220"/>
        <w:ind w:firstLine="540"/>
        <w:jc w:val="both"/>
      </w:pPr>
      <w:r>
        <w:t>При формировании прогнозного баланса Федеральной антимонопольной службой на очередной период регулирования, начиная с периода регулирования, следующего за периодом, в котором в соответствующем субъекте Российской Федерации впервые заключен двусторонний договор купли-продажи электрической энергии и установлены предельные (минимальный и (или) максимальный) уровни цен (тарифов) на электрическую энергию (мощность), произведенной на генерирующих объектах, расположенных на территориях таких технологически изолированных территориальных электроэнергетических систем, и потребляемой объектами, введенными в эксплуатацию после 1 июля 2017 г., объемы поставляемой и потребляемой электрической энергии (мощности) в технологически изолированных территориальных электроэнергетических системах по таким договорам отражаются отдельно.</w:t>
      </w:r>
    </w:p>
    <w:p w:rsidR="00827D0E" w:rsidRDefault="00827D0E">
      <w:pPr>
        <w:pStyle w:val="ConsPlusNormal"/>
        <w:jc w:val="both"/>
      </w:pPr>
      <w:bookmarkStart w:id="33" w:name="P1016"/>
      <w:bookmarkStart w:id="34" w:name="P1018"/>
      <w:bookmarkStart w:id="35" w:name="P1019"/>
      <w:bookmarkEnd w:id="33"/>
      <w:bookmarkEnd w:id="34"/>
      <w:bookmarkEnd w:id="35"/>
    </w:p>
    <w:p w:rsidR="00F95392" w:rsidRDefault="00F95392" w:rsidP="008627C8">
      <w:pPr>
        <w:autoSpaceDE w:val="0"/>
        <w:autoSpaceDN w:val="0"/>
        <w:adjustRightInd w:val="0"/>
        <w:spacing w:after="0" w:line="240" w:lineRule="auto"/>
        <w:ind w:firstLine="709"/>
        <w:jc w:val="both"/>
        <w:rPr>
          <w:rFonts w:asciiTheme="minorHAnsi" w:hAnsiTheme="minorHAnsi"/>
        </w:rPr>
      </w:pPr>
      <w:r>
        <w:rPr>
          <w:rFonts w:asciiTheme="minorHAnsi" w:hAnsiTheme="minorHAnsi"/>
          <w:b/>
        </w:rPr>
        <w:lastRenderedPageBreak/>
        <w:t>Включить н</w:t>
      </w:r>
      <w:r w:rsidR="000F449D" w:rsidRPr="004D4916">
        <w:rPr>
          <w:rFonts w:asciiTheme="minorHAnsi" w:hAnsiTheme="minorHAnsi"/>
          <w:b/>
        </w:rPr>
        <w:t xml:space="preserve">овый пункт </w:t>
      </w:r>
      <w:r w:rsidR="008627C8" w:rsidRPr="004D4916">
        <w:rPr>
          <w:rFonts w:asciiTheme="minorHAnsi" w:hAnsiTheme="minorHAnsi"/>
          <w:b/>
        </w:rPr>
        <w:t>61(1).</w:t>
      </w:r>
      <w:r w:rsidR="008627C8">
        <w:rPr>
          <w:rFonts w:asciiTheme="minorHAnsi" w:hAnsiTheme="minorHAnsi"/>
        </w:rPr>
        <w:t xml:space="preserve"> </w:t>
      </w:r>
    </w:p>
    <w:p w:rsidR="008627C8" w:rsidRDefault="008627C8" w:rsidP="008627C8">
      <w:pPr>
        <w:autoSpaceDE w:val="0"/>
        <w:autoSpaceDN w:val="0"/>
        <w:adjustRightInd w:val="0"/>
        <w:spacing w:after="0" w:line="240" w:lineRule="auto"/>
        <w:ind w:firstLine="709"/>
        <w:jc w:val="both"/>
        <w:rPr>
          <w:rFonts w:eastAsiaTheme="minorHAnsi" w:cs="Calibri"/>
        </w:rPr>
      </w:pPr>
      <w:r w:rsidRPr="00DE1FAE">
        <w:rPr>
          <w:rFonts w:asciiTheme="minorHAnsi" w:hAnsiTheme="minorHAnsi"/>
        </w:rPr>
        <w:t>При формировании</w:t>
      </w:r>
      <w:r>
        <w:rPr>
          <w:rFonts w:asciiTheme="minorHAnsi" w:hAnsiTheme="minorHAnsi"/>
        </w:rPr>
        <w:t xml:space="preserve"> </w:t>
      </w:r>
      <w:r w:rsidRPr="00DE1FAE">
        <w:rPr>
          <w:rFonts w:asciiTheme="minorHAnsi" w:hAnsiTheme="minorHAnsi"/>
        </w:rPr>
        <w:t xml:space="preserve">прогнозного баланса Федеральной антимонопольной </w:t>
      </w:r>
      <w:r>
        <w:rPr>
          <w:rFonts w:asciiTheme="minorHAnsi" w:hAnsiTheme="minorHAnsi"/>
        </w:rPr>
        <w:t xml:space="preserve">службой на очередной период регулирования, продолжительностью не менее трех лет, учитываются </w:t>
      </w:r>
      <w:r>
        <w:rPr>
          <w:rFonts w:eastAsiaTheme="minorHAnsi" w:cs="Calibri"/>
        </w:rPr>
        <w:t xml:space="preserve">субъекты оптового рынка - покупатели электрической энергии и мощности добровольно принявшие на себя обязательство по регистрации группы точек поставки, в которой выполняются требования, установленные Правилами оптового </w:t>
      </w:r>
      <w:r w:rsidRPr="00F66D1D">
        <w:rPr>
          <w:rFonts w:eastAsiaTheme="minorHAnsi" w:cs="Calibri"/>
        </w:rPr>
        <w:t>рынка электрической энергии и мощности, в определенный момент в будущем и на этом основании согласовавшие с системным оператором и организацией коммерческой инфраструктуры соответствующую группу точек поставки (далее - условная группа точек поставки), которые становятся субъектами оптового рынка с даты включения их в реестр субъектов оптового рынка, с нулевыми объемами до даты регистрации.</w:t>
      </w:r>
    </w:p>
    <w:p w:rsidR="008627C8" w:rsidRDefault="008627C8" w:rsidP="008627C8">
      <w:pPr>
        <w:autoSpaceDE w:val="0"/>
        <w:autoSpaceDN w:val="0"/>
        <w:adjustRightInd w:val="0"/>
        <w:spacing w:after="0" w:line="240" w:lineRule="auto"/>
        <w:ind w:firstLine="709"/>
        <w:jc w:val="both"/>
        <w:rPr>
          <w:rFonts w:eastAsiaTheme="minorHAnsi" w:cs="Calibri"/>
        </w:rPr>
      </w:pPr>
      <w:r w:rsidRPr="002A63AA">
        <w:rPr>
          <w:rFonts w:asciiTheme="minorHAnsi" w:hAnsiTheme="minorHAnsi"/>
        </w:rPr>
        <w:t xml:space="preserve">С даты регистрации </w:t>
      </w:r>
      <w:r w:rsidRPr="00D45D1C">
        <w:rPr>
          <w:rFonts w:eastAsiaTheme="minorHAnsi"/>
        </w:rPr>
        <w:t>субъектом оптового рынка - покупателем электрической энергии и мощности</w:t>
      </w:r>
      <w:r>
        <w:rPr>
          <w:rFonts w:asciiTheme="minorHAnsi" w:hAnsiTheme="minorHAnsi"/>
        </w:rPr>
        <w:t xml:space="preserve"> условной</w:t>
      </w:r>
      <w:r w:rsidRPr="002A63AA">
        <w:rPr>
          <w:rFonts w:asciiTheme="minorHAnsi" w:hAnsiTheme="minorHAnsi"/>
        </w:rPr>
        <w:t xml:space="preserve"> групп</w:t>
      </w:r>
      <w:r>
        <w:rPr>
          <w:rFonts w:asciiTheme="minorHAnsi" w:hAnsiTheme="minorHAnsi"/>
        </w:rPr>
        <w:t>ы</w:t>
      </w:r>
      <w:r w:rsidRPr="002A63AA">
        <w:rPr>
          <w:rFonts w:asciiTheme="minorHAnsi" w:hAnsiTheme="minorHAnsi"/>
        </w:rPr>
        <w:t xml:space="preserve"> точек поставки и получения допуска к торговой системе оптового рынка электрической энергии (мощности) объемы покупки электрической энергии и мощности такого покупателя определяются органом исполнительной власти субъекта Российской Федерации </w:t>
      </w:r>
      <w:r>
        <w:rPr>
          <w:rFonts w:asciiTheme="minorHAnsi" w:hAnsiTheme="minorHAnsi"/>
        </w:rPr>
        <w:t xml:space="preserve">на основании данных </w:t>
      </w:r>
      <w:r w:rsidRPr="002A63AA">
        <w:rPr>
          <w:rFonts w:asciiTheme="minorHAnsi" w:hAnsiTheme="minorHAnsi"/>
        </w:rPr>
        <w:t xml:space="preserve">о фактическом потреблении потребителя, расположенного </w:t>
      </w:r>
      <w:r w:rsidRPr="004D4916">
        <w:rPr>
          <w:rFonts w:asciiTheme="minorHAnsi" w:hAnsiTheme="minorHAnsi"/>
        </w:rPr>
        <w:t xml:space="preserve">в такой группе точек поставки, или о прогнозном потреблении, в случае нового технологического присоединения </w:t>
      </w:r>
      <w:r w:rsidRPr="000F449D">
        <w:rPr>
          <w:rFonts w:eastAsiaTheme="minorHAnsi" w:cs="Calibri"/>
        </w:rPr>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w:t>
      </w:r>
      <w:r>
        <w:rPr>
          <w:rFonts w:eastAsiaTheme="minorHAnsi" w:cs="Calibri"/>
        </w:rPr>
        <w:t>, принадлежащих сетевым организациям и иным лицам, к электрическим сетям.</w:t>
      </w:r>
    </w:p>
    <w:p w:rsidR="008627C8" w:rsidRDefault="008627C8" w:rsidP="00262C48">
      <w:pPr>
        <w:pStyle w:val="ConsPlusNormal"/>
        <w:tabs>
          <w:tab w:val="left" w:pos="1134"/>
        </w:tabs>
        <w:ind w:firstLine="709"/>
        <w:jc w:val="both"/>
      </w:pPr>
    </w:p>
    <w:p w:rsidR="00F95392" w:rsidRDefault="00F95392" w:rsidP="00262C48">
      <w:pPr>
        <w:pStyle w:val="ConsPlusNormal"/>
        <w:tabs>
          <w:tab w:val="left" w:pos="1134"/>
        </w:tabs>
        <w:ind w:firstLine="709"/>
        <w:jc w:val="both"/>
      </w:pPr>
      <w:r>
        <w:rPr>
          <w:b/>
        </w:rPr>
        <w:t>Включить н</w:t>
      </w:r>
      <w:r w:rsidR="00385FA4" w:rsidRPr="004D4916">
        <w:rPr>
          <w:b/>
        </w:rPr>
        <w:t xml:space="preserve">овый пункт </w:t>
      </w:r>
      <w:r w:rsidR="002A63AA" w:rsidRPr="004D4916">
        <w:rPr>
          <w:b/>
        </w:rPr>
        <w:t>6</w:t>
      </w:r>
      <w:r w:rsidR="009B5BFD" w:rsidRPr="004D4916">
        <w:rPr>
          <w:b/>
        </w:rPr>
        <w:t>1</w:t>
      </w:r>
      <w:r w:rsidR="002A63AA" w:rsidRPr="004D4916">
        <w:rPr>
          <w:b/>
        </w:rPr>
        <w:t>(2)</w:t>
      </w:r>
      <w:r w:rsidR="002A63AA" w:rsidRPr="004D4916">
        <w:t xml:space="preserve"> </w:t>
      </w:r>
    </w:p>
    <w:p w:rsidR="00262C48" w:rsidRDefault="002A63AA" w:rsidP="00262C48">
      <w:pPr>
        <w:pStyle w:val="ConsPlusNormal"/>
        <w:tabs>
          <w:tab w:val="left" w:pos="1134"/>
        </w:tabs>
        <w:ind w:firstLine="709"/>
        <w:jc w:val="both"/>
      </w:pPr>
      <w:r w:rsidRPr="004D4916">
        <w:t>Не позднее 1 июля года, предшествующего периоду регулирования, проект сводного прогнозного баланса формируется и утверждается Федеральной антимонопольной службой на долгосрочный период регулирования, продолжительностью не менее трех лет, с определением прогнозных объемов продажи (покупки) электрической энергии и мощности субъектов оптового рынка в зарегистрированных в соответствии с Правилами оптового рынка группах точек поставки, в том числе условных в целом по субъекту Российской Федерации, в том числе по каждому субъекту оптового рынка -  покупателю электрической энергии и мощности.</w:t>
      </w:r>
    </w:p>
    <w:p w:rsidR="00262C48" w:rsidRPr="004D4916" w:rsidRDefault="002A63AA" w:rsidP="00262C48">
      <w:pPr>
        <w:pStyle w:val="ConsPlusNormal"/>
        <w:tabs>
          <w:tab w:val="left" w:pos="1134"/>
        </w:tabs>
        <w:ind w:firstLine="709"/>
        <w:jc w:val="both"/>
        <w:rPr>
          <w:rFonts w:asciiTheme="minorHAnsi" w:hAnsiTheme="minorHAnsi"/>
        </w:rPr>
      </w:pPr>
      <w:r w:rsidRPr="004D4916">
        <w:rPr>
          <w:rFonts w:asciiTheme="minorHAnsi" w:hAnsiTheme="minorHAnsi"/>
        </w:rPr>
        <w:t xml:space="preserve">В случае, если субъектами оптового рынка и органами исполнительной власти субъектов Российской Федерации согласованы предлагаемые в прогнозный баланс объемы продажи (покупки) электрической энергии и мощности, то Федеральная антимонопольная служба принимает указанные объемы в сводный прогнозный баланс без корректировок.  </w:t>
      </w:r>
    </w:p>
    <w:p w:rsidR="00262C48" w:rsidRDefault="002A63AA" w:rsidP="00262C48">
      <w:pPr>
        <w:autoSpaceDE w:val="0"/>
        <w:autoSpaceDN w:val="0"/>
        <w:adjustRightInd w:val="0"/>
        <w:spacing w:after="0" w:line="240" w:lineRule="auto"/>
        <w:ind w:firstLine="709"/>
        <w:jc w:val="both"/>
        <w:rPr>
          <w:rFonts w:eastAsiaTheme="minorHAnsi" w:cs="Calibri"/>
        </w:rPr>
      </w:pPr>
      <w:r w:rsidRPr="004D4916">
        <w:rPr>
          <w:rFonts w:asciiTheme="minorHAnsi" w:hAnsiTheme="minorHAnsi"/>
        </w:rPr>
        <w:t xml:space="preserve">В случае, если объемы продажи (покупки) электрической энергии и мощности, предлагаемые в сводный прогнозный баланс, субъектами оптового рынка и органами исполнительной власти субъектов Российской Федерации не согласованы, то при определении объемов поставки (покупки) электрической энергии и мощности, включаемых в сводный прогнозный баланс Федеральная антимонопольная служба основывается на данных </w:t>
      </w:r>
      <w:r w:rsidRPr="004D4916">
        <w:rPr>
          <w:rFonts w:eastAsiaTheme="minorHAnsi"/>
        </w:rPr>
        <w:t>государственной статистической отчетности, утвержденным в установленном порядке, в том числе данных, предоставляемых в соответствии с формой № 46-ЭЭ (передача) «Сведения об отпуске (передаче) электроэнергии распределительными сетевыми организациями отдельным категориям потребителей».</w:t>
      </w:r>
    </w:p>
    <w:p w:rsidR="00EC526F" w:rsidRDefault="002A63AA" w:rsidP="004D4916">
      <w:pPr>
        <w:autoSpaceDE w:val="0"/>
        <w:autoSpaceDN w:val="0"/>
        <w:adjustRightInd w:val="0"/>
        <w:spacing w:after="0" w:line="240" w:lineRule="auto"/>
        <w:ind w:firstLine="709"/>
        <w:jc w:val="both"/>
        <w:rPr>
          <w:rFonts w:eastAsia="Times New Roman" w:cs="Calibri"/>
          <w:szCs w:val="20"/>
          <w:lang w:eastAsia="ru-RU"/>
        </w:rPr>
      </w:pPr>
      <w:r w:rsidRPr="004D4916">
        <w:rPr>
          <w:rFonts w:eastAsia="Times New Roman" w:cs="Calibri"/>
          <w:szCs w:val="20"/>
          <w:lang w:eastAsia="ru-RU"/>
        </w:rPr>
        <w:t xml:space="preserve">Утвержденный проект сводного прогнозного баланса Федеральная антимонопольная служба направляет посредствам системы ФГИС ЕИАС ФАС России </w:t>
      </w:r>
      <w:r w:rsidR="009B5BFD">
        <w:rPr>
          <w:rFonts w:eastAsia="Times New Roman" w:cs="Calibri"/>
          <w:szCs w:val="20"/>
          <w:lang w:eastAsia="ru-RU"/>
        </w:rPr>
        <w:t>органам</w:t>
      </w:r>
      <w:r w:rsidR="009B5BFD" w:rsidRPr="00F20DCB">
        <w:rPr>
          <w:rFonts w:eastAsia="Times New Roman" w:cs="Calibri"/>
          <w:szCs w:val="20"/>
          <w:lang w:eastAsia="ru-RU"/>
        </w:rPr>
        <w:t xml:space="preserve"> исполнительной власти субъектов Российской Федерации</w:t>
      </w:r>
      <w:r w:rsidR="009B5BFD">
        <w:rPr>
          <w:rFonts w:eastAsia="Times New Roman" w:cs="Calibri"/>
          <w:szCs w:val="20"/>
          <w:lang w:eastAsia="ru-RU"/>
        </w:rPr>
        <w:t>.</w:t>
      </w:r>
    </w:p>
    <w:p w:rsidR="00EC526F" w:rsidRDefault="009B5BFD" w:rsidP="004D4916">
      <w:pPr>
        <w:autoSpaceDE w:val="0"/>
        <w:autoSpaceDN w:val="0"/>
        <w:adjustRightInd w:val="0"/>
        <w:spacing w:after="0" w:line="240" w:lineRule="auto"/>
        <w:ind w:firstLine="709"/>
        <w:jc w:val="both"/>
        <w:rPr>
          <w:rFonts w:eastAsiaTheme="minorHAnsi" w:cs="Calibri"/>
        </w:rPr>
      </w:pPr>
      <w:r>
        <w:rPr>
          <w:rFonts w:eastAsiaTheme="minorHAnsi" w:cs="Calibri"/>
        </w:rPr>
        <w:t>В случае отсутствия подключения к системе ФГИС ЕИАС ФАС России сводный прогнозный баланс направляется на электронном носителе с электронно-цифровой подписью.</w:t>
      </w:r>
    </w:p>
    <w:p w:rsidR="00262C48" w:rsidRDefault="00262C48" w:rsidP="009B5BFD">
      <w:pPr>
        <w:pStyle w:val="a4"/>
        <w:tabs>
          <w:tab w:val="left" w:pos="1134"/>
        </w:tabs>
        <w:ind w:left="0" w:firstLine="709"/>
        <w:jc w:val="both"/>
        <w:rPr>
          <w:rFonts w:asciiTheme="minorHAnsi" w:hAnsiTheme="minorHAnsi"/>
        </w:rPr>
      </w:pPr>
    </w:p>
    <w:p w:rsidR="001C1808" w:rsidRPr="004D4916" w:rsidRDefault="00F95392" w:rsidP="009B5BFD">
      <w:pPr>
        <w:pStyle w:val="a4"/>
        <w:tabs>
          <w:tab w:val="left" w:pos="1134"/>
        </w:tabs>
        <w:ind w:left="0" w:firstLine="709"/>
        <w:jc w:val="both"/>
        <w:rPr>
          <w:rFonts w:asciiTheme="minorHAnsi" w:hAnsiTheme="minorHAnsi"/>
        </w:rPr>
      </w:pPr>
      <w:r>
        <w:rPr>
          <w:rFonts w:asciiTheme="minorHAnsi" w:hAnsiTheme="minorHAnsi"/>
          <w:b/>
        </w:rPr>
        <w:t>Включить н</w:t>
      </w:r>
      <w:r w:rsidR="000F449D" w:rsidRPr="004D4916">
        <w:rPr>
          <w:rFonts w:asciiTheme="minorHAnsi" w:hAnsiTheme="minorHAnsi"/>
          <w:b/>
        </w:rPr>
        <w:t xml:space="preserve">овый пункт </w:t>
      </w:r>
      <w:r w:rsidR="002A63AA" w:rsidRPr="004D4916">
        <w:rPr>
          <w:rFonts w:asciiTheme="minorHAnsi" w:hAnsiTheme="minorHAnsi"/>
          <w:b/>
        </w:rPr>
        <w:t>61(3)</w:t>
      </w:r>
      <w:r w:rsidR="002A63AA" w:rsidRPr="004D4916">
        <w:rPr>
          <w:rFonts w:asciiTheme="minorHAnsi" w:hAnsiTheme="minorHAnsi"/>
        </w:rPr>
        <w:t xml:space="preserve"> С 1 июля года, предшествующего периоду регулирования органам исполнительной власти субъектов Российской Федерации, субъектам оптового рынка предоставляется доступ к информации, размещаемой в </w:t>
      </w:r>
      <w:r w:rsidR="002A63AA">
        <w:rPr>
          <w:rFonts w:eastAsiaTheme="minorHAnsi" w:cs="Calibri"/>
        </w:rPr>
        <w:t xml:space="preserve">ФГИС ЕИАС ФАС России </w:t>
      </w:r>
      <w:r w:rsidR="002A63AA" w:rsidRPr="004D4916">
        <w:rPr>
          <w:rFonts w:asciiTheme="minorHAnsi" w:hAnsiTheme="minorHAnsi"/>
        </w:rPr>
        <w:t xml:space="preserve">региональный раздел сводного прогнозного баланса, в котором должна быть доступна информации в разрезе субъектов оптового рынка. </w:t>
      </w:r>
    </w:p>
    <w:p w:rsidR="00EC526F" w:rsidRDefault="001C1808">
      <w:pPr>
        <w:pStyle w:val="a4"/>
        <w:tabs>
          <w:tab w:val="left" w:pos="1134"/>
        </w:tabs>
        <w:ind w:left="0" w:firstLine="709"/>
        <w:jc w:val="both"/>
        <w:rPr>
          <w:rFonts w:asciiTheme="minorHAnsi" w:hAnsiTheme="minorHAnsi"/>
        </w:rPr>
      </w:pPr>
      <w:r>
        <w:rPr>
          <w:rFonts w:eastAsiaTheme="minorHAnsi" w:cs="Calibri"/>
        </w:rPr>
        <w:lastRenderedPageBreak/>
        <w:t xml:space="preserve">В случае отсутствия подключения к системе ФГИС ЕИАС ФАС России или недоступности информации, орган исполнительной власти субъекта Российской Федерации обязан предоставить </w:t>
      </w:r>
      <w:r w:rsidR="00F675AB">
        <w:rPr>
          <w:rFonts w:eastAsiaTheme="minorHAnsi" w:cs="Calibri"/>
        </w:rPr>
        <w:t xml:space="preserve">в течении 5 рабочих дней с момента получения запроса от субъекта оптового рынка </w:t>
      </w:r>
      <w:r>
        <w:rPr>
          <w:rFonts w:eastAsiaTheme="minorHAnsi" w:cs="Calibri"/>
        </w:rPr>
        <w:t>соответствующую информацию</w:t>
      </w:r>
      <w:r w:rsidR="002A63AA" w:rsidRPr="004D4916">
        <w:rPr>
          <w:rFonts w:asciiTheme="minorHAnsi" w:hAnsiTheme="minorHAnsi"/>
        </w:rPr>
        <w:t>.</w:t>
      </w:r>
    </w:p>
    <w:p w:rsidR="00EC526F" w:rsidRDefault="00EC526F" w:rsidP="004D4916">
      <w:pPr>
        <w:autoSpaceDE w:val="0"/>
        <w:autoSpaceDN w:val="0"/>
        <w:adjustRightInd w:val="0"/>
        <w:spacing w:after="0" w:line="240" w:lineRule="auto"/>
        <w:ind w:firstLine="709"/>
        <w:jc w:val="both"/>
        <w:rPr>
          <w:rFonts w:eastAsiaTheme="minorHAnsi" w:cs="Calibri"/>
        </w:rPr>
      </w:pPr>
    </w:p>
    <w:p w:rsidR="009B5BFD" w:rsidRDefault="009B5BFD" w:rsidP="00827D0E">
      <w:pPr>
        <w:pStyle w:val="ConsPlusNormal"/>
        <w:tabs>
          <w:tab w:val="left" w:pos="1134"/>
        </w:tabs>
        <w:ind w:firstLine="709"/>
        <w:jc w:val="both"/>
        <w:rPr>
          <w:rFonts w:asciiTheme="minorHAnsi" w:hAnsiTheme="minorHAnsi"/>
          <w:highlight w:val="yellow"/>
        </w:rPr>
      </w:pPr>
    </w:p>
    <w:p w:rsidR="00827D0E" w:rsidRPr="00BF4FE2" w:rsidRDefault="00827D0E" w:rsidP="00827D0E">
      <w:pPr>
        <w:pStyle w:val="a4"/>
        <w:tabs>
          <w:tab w:val="left" w:pos="1134"/>
        </w:tabs>
        <w:ind w:left="0" w:firstLine="709"/>
        <w:jc w:val="both"/>
        <w:rPr>
          <w:rFonts w:asciiTheme="minorHAnsi" w:hAnsiTheme="minorHAnsi"/>
        </w:rPr>
      </w:pPr>
    </w:p>
    <w:p w:rsidR="005F436B" w:rsidRDefault="005F436B" w:rsidP="005F436B">
      <w:pPr>
        <w:pStyle w:val="ConsPlusNormal"/>
        <w:ind w:firstLine="540"/>
        <w:jc w:val="center"/>
      </w:pPr>
      <w:bookmarkStart w:id="36" w:name="P1028"/>
      <w:bookmarkStart w:id="37" w:name="P1030"/>
      <w:bookmarkStart w:id="38" w:name="P1040"/>
      <w:bookmarkStart w:id="39" w:name="P1066"/>
      <w:bookmarkStart w:id="40" w:name="P1091"/>
      <w:bookmarkStart w:id="41" w:name="P1103"/>
      <w:bookmarkStart w:id="42" w:name="P1130"/>
      <w:bookmarkStart w:id="43" w:name="P1163"/>
      <w:bookmarkStart w:id="44" w:name="P1174"/>
      <w:bookmarkStart w:id="45" w:name="P1177"/>
      <w:bookmarkStart w:id="46" w:name="P1243"/>
      <w:bookmarkStart w:id="47" w:name="P1245"/>
      <w:bookmarkStart w:id="48" w:name="P1302"/>
      <w:bookmarkStart w:id="49" w:name="P1371"/>
      <w:bookmarkStart w:id="50" w:name="P1436"/>
      <w:bookmarkStart w:id="51" w:name="P1444"/>
      <w:bookmarkStart w:id="52" w:name="P1468"/>
      <w:bookmarkStart w:id="53" w:name="P1483"/>
      <w:bookmarkStart w:id="54" w:name="P1503"/>
      <w:bookmarkStart w:id="55" w:name="P1529"/>
      <w:bookmarkStart w:id="56" w:name="P1579"/>
      <w:bookmarkStart w:id="57" w:name="P1581"/>
      <w:bookmarkStart w:id="58" w:name="P1582"/>
      <w:bookmarkStart w:id="59" w:name="P1621"/>
      <w:bookmarkStart w:id="60" w:name="P1652"/>
      <w:bookmarkStart w:id="61" w:name="P1675"/>
      <w:bookmarkStart w:id="62" w:name="P1788"/>
      <w:bookmarkStart w:id="63" w:name="P1789"/>
      <w:bookmarkStart w:id="64" w:name="P1800"/>
      <w:bookmarkStart w:id="65" w:name="P1826"/>
      <w:bookmarkStart w:id="66" w:name="P1899"/>
      <w:bookmarkStart w:id="67" w:name="P1970"/>
      <w:bookmarkStart w:id="68" w:name="P1984"/>
      <w:bookmarkStart w:id="69" w:name="P1986"/>
      <w:bookmarkStart w:id="70" w:name="P1987"/>
      <w:bookmarkStart w:id="71" w:name="P1988"/>
      <w:bookmarkStart w:id="72" w:name="P2000"/>
      <w:bookmarkStart w:id="73" w:name="P2045"/>
      <w:bookmarkStart w:id="74" w:name="P2098"/>
      <w:bookmarkStart w:id="75" w:name="P2359"/>
      <w:bookmarkStart w:id="76" w:name="P2378"/>
      <w:bookmarkStart w:id="77" w:name="P2385"/>
      <w:bookmarkStart w:id="78" w:name="P2390"/>
      <w:bookmarkStart w:id="79" w:name="P2393"/>
      <w:bookmarkStart w:id="80" w:name="P239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06E67">
        <w:rPr>
          <w:b/>
        </w:rPr>
        <w:t>Изменения в</w:t>
      </w:r>
      <w:r w:rsidRPr="005F436B">
        <w:t xml:space="preserve"> </w:t>
      </w:r>
      <w:r>
        <w:t xml:space="preserve"> </w:t>
      </w:r>
      <w:r w:rsidRPr="005F436B">
        <w:rPr>
          <w:b/>
        </w:rPr>
        <w:t>ПРАВИЛА</w:t>
      </w:r>
    </w:p>
    <w:p w:rsidR="005F436B" w:rsidRDefault="005F436B" w:rsidP="005F436B">
      <w:pPr>
        <w:pStyle w:val="ConsPlusTitle"/>
        <w:jc w:val="center"/>
      </w:pPr>
      <w:r>
        <w:t>ГОСУДАРСТВЕННОГО РЕГУЛИРОВАНИЯ (ПЕРЕСМОТРА, ПРИМЕНЕНИЯ)</w:t>
      </w:r>
    </w:p>
    <w:p w:rsidR="005F436B" w:rsidRDefault="005F436B" w:rsidP="005F436B">
      <w:pPr>
        <w:pStyle w:val="ConsPlusTitle"/>
        <w:jc w:val="center"/>
      </w:pPr>
      <w:r>
        <w:t>ЦЕН (ТАРИФОВ) В ЭЛЕКТРОЭНЕРГЕТИКЕ</w:t>
      </w:r>
    </w:p>
    <w:p w:rsidR="003148F7" w:rsidRDefault="003148F7" w:rsidP="005F436B">
      <w:pPr>
        <w:pStyle w:val="ConsPlusTitle"/>
        <w:jc w:val="center"/>
      </w:pPr>
    </w:p>
    <w:p w:rsidR="003148F7" w:rsidRDefault="003148F7" w:rsidP="003148F7">
      <w:pPr>
        <w:pStyle w:val="ConsPlusNormal"/>
        <w:ind w:firstLine="539"/>
        <w:jc w:val="both"/>
        <w:rPr>
          <w:b/>
        </w:rPr>
      </w:pPr>
      <w:r w:rsidRPr="00AD20BB">
        <w:rPr>
          <w:b/>
        </w:rPr>
        <w:t>Изложить пункт</w:t>
      </w:r>
      <w:r w:rsidR="00AF2F69">
        <w:rPr>
          <w:b/>
        </w:rPr>
        <w:t>ы</w:t>
      </w:r>
      <w:r w:rsidRPr="00AD20BB">
        <w:rPr>
          <w:b/>
        </w:rPr>
        <w:t xml:space="preserve"> </w:t>
      </w:r>
      <w:r>
        <w:rPr>
          <w:b/>
        </w:rPr>
        <w:t>11</w:t>
      </w:r>
      <w:r w:rsidR="00AF2F69" w:rsidRPr="0039519F">
        <w:rPr>
          <w:b/>
        </w:rPr>
        <w:t>, 15, 17</w:t>
      </w:r>
      <w:r w:rsidRPr="00AD20BB">
        <w:rPr>
          <w:b/>
        </w:rPr>
        <w:t xml:space="preserve"> в следующей редакции:</w:t>
      </w:r>
    </w:p>
    <w:p w:rsidR="003148F7" w:rsidRPr="0039519F" w:rsidRDefault="003148F7" w:rsidP="003148F7">
      <w:pPr>
        <w:pStyle w:val="ConsPlusNormal"/>
        <w:spacing w:before="220"/>
        <w:ind w:firstLine="540"/>
        <w:jc w:val="both"/>
      </w:pPr>
      <w:r w:rsidRPr="0039519F">
        <w:t xml:space="preserve">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w:t>
      </w:r>
      <w:r w:rsidRPr="0039519F">
        <w:rPr>
          <w:b/>
        </w:rPr>
        <w:t xml:space="preserve">с  </w:t>
      </w:r>
      <w:r w:rsidRPr="0039519F">
        <w:rPr>
          <w:rFonts w:asciiTheme="minorHAnsi" w:hAnsiTheme="minorHAnsi"/>
          <w:b/>
        </w:rPr>
        <w:t>выделением объемов потребления по ценовым, неценовым зонам или технологически изолированным энергетическим системам</w:t>
      </w:r>
      <w:r w:rsidRPr="0039519F">
        <w:t>,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r w:rsidR="00B4204B" w:rsidRPr="0039519F">
        <w:t xml:space="preserve"> </w:t>
      </w:r>
      <w:r w:rsidR="00B4204B" w:rsidRPr="0039519F">
        <w:rPr>
          <w:b/>
        </w:rPr>
        <w:t xml:space="preserve">с  </w:t>
      </w:r>
      <w:r w:rsidR="00B4204B" w:rsidRPr="0039519F">
        <w:rPr>
          <w:rFonts w:asciiTheme="minorHAnsi" w:hAnsiTheme="minorHAnsi"/>
          <w:b/>
        </w:rPr>
        <w:t>выделением объемов потребления по ценовым, неценовым зонам или технологически изолированным энергетическим системам</w:t>
      </w:r>
      <w:r w:rsidRPr="0039519F">
        <w:t>.</w:t>
      </w:r>
    </w:p>
    <w:p w:rsidR="003148F7" w:rsidRPr="0039519F" w:rsidRDefault="003148F7" w:rsidP="003148F7">
      <w:pPr>
        <w:pStyle w:val="ConsPlusNormal"/>
        <w:jc w:val="both"/>
      </w:pPr>
      <w:r w:rsidRPr="0039519F">
        <w:t xml:space="preserve">(в ред. Постановлений Правительства РФ от 22.07.2013 </w:t>
      </w:r>
      <w:hyperlink r:id="rId7" w:history="1">
        <w:r w:rsidRPr="0039519F">
          <w:t>N 614</w:t>
        </w:r>
      </w:hyperlink>
      <w:r w:rsidRPr="0039519F">
        <w:t xml:space="preserve">, от 04.09.2015 </w:t>
      </w:r>
      <w:hyperlink r:id="rId8" w:history="1">
        <w:r w:rsidRPr="0039519F">
          <w:t>N 941</w:t>
        </w:r>
      </w:hyperlink>
      <w:r w:rsidRPr="0039519F">
        <w:t>)</w:t>
      </w:r>
    </w:p>
    <w:p w:rsidR="003148F7" w:rsidRPr="0039519F" w:rsidRDefault="003148F7" w:rsidP="003148F7">
      <w:pPr>
        <w:pStyle w:val="ConsPlusNormal"/>
        <w:spacing w:before="220"/>
        <w:ind w:firstLine="540"/>
        <w:jc w:val="both"/>
      </w:pPr>
      <w:r w:rsidRPr="0039519F">
        <w:t xml:space="preserve">При установлении социальной нормы потребления в соответствии с </w:t>
      </w:r>
      <w:hyperlink r:id="rId9" w:history="1">
        <w:r w:rsidRPr="0039519F">
          <w:t>Положением</w:t>
        </w:r>
      </w:hyperlink>
      <w:r w:rsidRPr="0039519F">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перечень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w:t>
      </w:r>
      <w:r w:rsidR="00B4204B" w:rsidRPr="0039519F">
        <w:rPr>
          <w:b/>
        </w:rPr>
        <w:t xml:space="preserve">года, предшествующего очередному периоду регулирования </w:t>
      </w:r>
    </w:p>
    <w:p w:rsidR="003148F7" w:rsidRPr="0039519F" w:rsidRDefault="003148F7" w:rsidP="003148F7">
      <w:pPr>
        <w:pStyle w:val="ConsPlusNormal"/>
        <w:jc w:val="both"/>
      </w:pPr>
      <w:r w:rsidRPr="0039519F">
        <w:t xml:space="preserve">(абзац введен </w:t>
      </w:r>
      <w:hyperlink r:id="rId10" w:history="1">
        <w:r w:rsidRPr="0039519F">
          <w:t>Постановлением</w:t>
        </w:r>
      </w:hyperlink>
      <w:r w:rsidRPr="0039519F">
        <w:t xml:space="preserve"> Правительства РФ от 22.07.2013 N 614)</w:t>
      </w:r>
    </w:p>
    <w:p w:rsidR="003148F7" w:rsidRPr="0039519F" w:rsidRDefault="003148F7" w:rsidP="003148F7">
      <w:pPr>
        <w:pStyle w:val="ConsPlusNormal"/>
        <w:ind w:firstLine="539"/>
        <w:jc w:val="both"/>
        <w:rPr>
          <w:b/>
        </w:rPr>
      </w:pPr>
    </w:p>
    <w:p w:rsidR="005F436B" w:rsidRPr="0039519F" w:rsidRDefault="00906E67" w:rsidP="005F436B">
      <w:pPr>
        <w:spacing w:after="1"/>
        <w:rPr>
          <w:b/>
        </w:rPr>
      </w:pPr>
      <w:r w:rsidRPr="0039519F">
        <w:rPr>
          <w:b/>
        </w:rPr>
        <w:t>Дополнить пунктами:</w:t>
      </w:r>
    </w:p>
    <w:p w:rsidR="00906E67" w:rsidRPr="0039519F" w:rsidRDefault="00906E67" w:rsidP="00906E67">
      <w:pPr>
        <w:pStyle w:val="a4"/>
        <w:tabs>
          <w:tab w:val="left" w:pos="1134"/>
        </w:tabs>
        <w:ind w:left="0" w:firstLine="709"/>
        <w:jc w:val="both"/>
      </w:pPr>
      <w:r w:rsidRPr="0039519F">
        <w:t xml:space="preserve">11.1 </w:t>
      </w:r>
      <w:r w:rsidR="00CA0762" w:rsidRPr="0039519F">
        <w:rPr>
          <w:b/>
        </w:rPr>
        <w:t>Орган исполнительной власти субъекта Российской Федерации направляет в адрес регулируемой организации</w:t>
      </w:r>
      <w:r w:rsidR="00CA0762" w:rsidRPr="0039519F">
        <w:t xml:space="preserve"> с</w:t>
      </w:r>
      <w:r w:rsidRPr="0039519F">
        <w:t xml:space="preserve">ведения об объемах покупки электроэнергии и мощности, которые планируется включить в сводный прогнозный баланс по субъекту Российской Федерации, а также уточненное предложение в сводный прогнозный баланс с указанием причин отклонений от предложений регулируемых организации </w:t>
      </w:r>
      <w:r w:rsidR="00860113" w:rsidRPr="0039519F">
        <w:rPr>
          <w:rFonts w:asciiTheme="minorHAnsi" w:hAnsiTheme="minorHAnsi"/>
          <w:b/>
        </w:rPr>
        <w:t xml:space="preserve">посредством размещения информации </w:t>
      </w:r>
      <w:r w:rsidR="00860113" w:rsidRPr="0039519F">
        <w:rPr>
          <w:rFonts w:eastAsiaTheme="minorHAnsi" w:cs="Calibri"/>
          <w:b/>
        </w:rPr>
        <w:t xml:space="preserve">в </w:t>
      </w:r>
      <w:r w:rsidR="00860113" w:rsidRPr="0039519F">
        <w:rPr>
          <w:rFonts w:asciiTheme="minorHAnsi" w:hAnsiTheme="minorHAnsi"/>
          <w:b/>
        </w:rPr>
        <w:t xml:space="preserve">региональный раздел сводного прогнозного баланса в </w:t>
      </w:r>
      <w:r w:rsidR="00860113" w:rsidRPr="0039519F">
        <w:rPr>
          <w:rFonts w:eastAsiaTheme="minorHAnsi" w:cs="Calibri"/>
          <w:b/>
        </w:rPr>
        <w:t>ФГИС ЕИАС ФАС России</w:t>
      </w:r>
      <w:r w:rsidR="00860113" w:rsidRPr="0039519F" w:rsidDel="00CA0762">
        <w:t xml:space="preserve"> </w:t>
      </w:r>
      <w:r w:rsidRPr="0039519F">
        <w:t xml:space="preserve">для возможного предоставления мотивированного мнения регулируемой организации в случае несогласия с корректировками в течение 10 </w:t>
      </w:r>
      <w:r w:rsidR="00CD2392" w:rsidRPr="0039519F">
        <w:t xml:space="preserve">рабочих </w:t>
      </w:r>
      <w:r w:rsidRPr="0039519F">
        <w:t>дней со дня получения предложения об объемах покупки электроэнергии и мощности в сводный прогнозный баланс от регулируемой организации.</w:t>
      </w:r>
    </w:p>
    <w:p w:rsidR="00906E67" w:rsidRPr="00D80AF6" w:rsidRDefault="00906E67" w:rsidP="00906E67">
      <w:pPr>
        <w:autoSpaceDE w:val="0"/>
        <w:autoSpaceDN w:val="0"/>
        <w:adjustRightInd w:val="0"/>
        <w:spacing w:after="0" w:line="240" w:lineRule="auto"/>
        <w:ind w:firstLine="709"/>
        <w:jc w:val="both"/>
      </w:pPr>
      <w:r w:rsidRPr="0039519F">
        <w:t xml:space="preserve">11.2 </w:t>
      </w:r>
      <w:r w:rsidR="00913470" w:rsidRPr="0039519F">
        <w:rPr>
          <w:b/>
        </w:rPr>
        <w:t>Орган исполнительной власти субъектов Российской Федерации предоставляет в Федеральную антимонопольную службу с</w:t>
      </w:r>
      <w:r w:rsidRPr="0039519F">
        <w:rPr>
          <w:b/>
        </w:rPr>
        <w:t>ведения</w:t>
      </w:r>
      <w:r w:rsidRPr="0039519F">
        <w:t xml:space="preserve"> об объемах покупки электроэнергии и </w:t>
      </w:r>
      <w:r w:rsidRPr="0039519F">
        <w:lastRenderedPageBreak/>
        <w:t xml:space="preserve">мощности, предлагаемых в сводный прогнозный баланс регулируемыми организациями, сведения об объемах покупки электроэнергии и мощности, учтенных органом исполнительной власти субъекта Российской Федерации с указанием причин отклонений от предложений регулируемых организаций в сводный прогнозный баланс, </w:t>
      </w:r>
      <w:r w:rsidRPr="0039519F">
        <w:rPr>
          <w:b/>
        </w:rPr>
        <w:t>в соответствии</w:t>
      </w:r>
      <w:r w:rsidRPr="0039519F">
        <w:t xml:space="preserve"> с формами, предусмотренными Порядком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и Порядка определения отношения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w:t>
      </w:r>
      <w:r w:rsidRPr="00D80AF6">
        <w:t>значению прогнозного объема мощности, определенного в отношении указанных категорий потребителей</w:t>
      </w:r>
      <w:r w:rsidR="00913470" w:rsidRPr="00D80AF6">
        <w:rPr>
          <w:rFonts w:asciiTheme="minorHAnsi" w:hAnsiTheme="minorHAnsi"/>
        </w:rPr>
        <w:t xml:space="preserve"> </w:t>
      </w:r>
      <w:r w:rsidR="00913470" w:rsidRPr="00D80AF6">
        <w:rPr>
          <w:rFonts w:asciiTheme="minorHAnsi" w:hAnsiTheme="minorHAnsi"/>
          <w:b/>
        </w:rPr>
        <w:t xml:space="preserve">посредством размещения информации в </w:t>
      </w:r>
      <w:r w:rsidR="00913470" w:rsidRPr="00D80AF6">
        <w:rPr>
          <w:rFonts w:eastAsiaTheme="minorHAnsi" w:cs="Calibri"/>
          <w:b/>
        </w:rPr>
        <w:t>ФГИС ЕИАС ФАС России</w:t>
      </w:r>
      <w:r w:rsidRPr="00D80AF6">
        <w:t>.</w:t>
      </w:r>
    </w:p>
    <w:p w:rsidR="00906E67" w:rsidRPr="00D80AF6" w:rsidRDefault="00906E67" w:rsidP="00906E67">
      <w:pPr>
        <w:pStyle w:val="a4"/>
        <w:tabs>
          <w:tab w:val="left" w:pos="1134"/>
        </w:tabs>
        <w:ind w:left="0" w:firstLine="709"/>
        <w:jc w:val="both"/>
      </w:pPr>
    </w:p>
    <w:p w:rsidR="00906E67" w:rsidRPr="00D80AF6" w:rsidRDefault="00906E67" w:rsidP="00603810">
      <w:pPr>
        <w:pStyle w:val="a4"/>
        <w:tabs>
          <w:tab w:val="left" w:pos="1134"/>
        </w:tabs>
        <w:ind w:left="0" w:firstLine="567"/>
        <w:jc w:val="both"/>
        <w:rPr>
          <w:rFonts w:asciiTheme="minorHAnsi" w:hAnsiTheme="minorHAnsi"/>
        </w:rPr>
      </w:pPr>
      <w:r w:rsidRPr="00D80AF6">
        <w:rPr>
          <w:rFonts w:asciiTheme="minorHAnsi" w:hAnsiTheme="minorHAnsi"/>
          <w:b/>
        </w:rPr>
        <w:t>15. При появлении новых потребителей, которые вышли на ОРЭМ после 15 августа, дать возможность ГП заявлять на основании объемов этих потребителей синхронное изменение своих объемов в региональный орган регулирования.</w:t>
      </w:r>
    </w:p>
    <w:p w:rsidR="00145D7D" w:rsidRPr="0039519F" w:rsidRDefault="00145D7D" w:rsidP="00145D7D">
      <w:pPr>
        <w:pStyle w:val="ConsPlusNormal"/>
        <w:spacing w:before="220"/>
        <w:ind w:firstLine="540"/>
        <w:jc w:val="both"/>
      </w:pPr>
      <w:r w:rsidRPr="0039519F">
        <w:rPr>
          <w:b/>
        </w:rPr>
        <w:t>17.</w:t>
      </w:r>
      <w:r w:rsidRPr="0039519F">
        <w:t xml:space="preserve"> К заявлениям, направленным в соответствии с </w:t>
      </w:r>
      <w:hyperlink w:anchor="P2476" w:history="1">
        <w:r w:rsidRPr="0039519F">
          <w:t>пунктами 12</w:t>
        </w:r>
      </w:hyperlink>
      <w:r w:rsidRPr="0039519F">
        <w:t xml:space="preserve">, </w:t>
      </w:r>
      <w:hyperlink w:anchor="P2482" w:history="1">
        <w:r w:rsidRPr="0039519F">
          <w:t>14</w:t>
        </w:r>
      </w:hyperlink>
      <w:r w:rsidRPr="0039519F">
        <w:t xml:space="preserve"> и </w:t>
      </w:r>
      <w:hyperlink w:anchor="P2513" w:history="1">
        <w:r w:rsidRPr="0039519F">
          <w:t>16</w:t>
        </w:r>
      </w:hyperlink>
      <w:r w:rsidRPr="0039519F">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145D7D" w:rsidRPr="0039519F" w:rsidRDefault="00145D7D" w:rsidP="0039519F">
      <w:pPr>
        <w:tabs>
          <w:tab w:val="left" w:pos="1134"/>
        </w:tabs>
        <w:autoSpaceDE w:val="0"/>
        <w:autoSpaceDN w:val="0"/>
        <w:adjustRightInd w:val="0"/>
        <w:spacing w:after="0" w:line="240" w:lineRule="auto"/>
        <w:ind w:firstLine="709"/>
        <w:jc w:val="both"/>
        <w:rPr>
          <w:rFonts w:asciiTheme="minorHAnsi" w:hAnsiTheme="minorHAnsi"/>
          <w:b/>
        </w:rPr>
      </w:pPr>
      <w:r w:rsidRPr="0039519F">
        <w:t>1) баланс электрической энергии</w:t>
      </w:r>
      <w:r w:rsidR="002F6E59" w:rsidRPr="0039519F">
        <w:t xml:space="preserve"> </w:t>
      </w:r>
      <w:r w:rsidR="002F6E59" w:rsidRPr="0039519F">
        <w:rPr>
          <w:b/>
        </w:rPr>
        <w:t>на период регулирования</w:t>
      </w:r>
      <w:r w:rsidR="002F6E59" w:rsidRPr="0039519F">
        <w:t xml:space="preserve"> </w:t>
      </w:r>
      <w:r w:rsidR="002F6E59" w:rsidRPr="0039519F">
        <w:rPr>
          <w:rFonts w:asciiTheme="minorHAnsi" w:hAnsiTheme="minorHAnsi"/>
          <w:b/>
        </w:rPr>
        <w:t xml:space="preserve">не менее </w:t>
      </w:r>
      <w:proofErr w:type="gramStart"/>
      <w:r w:rsidR="002F6E59" w:rsidRPr="0039519F">
        <w:rPr>
          <w:rFonts w:asciiTheme="minorHAnsi" w:hAnsiTheme="minorHAnsi"/>
          <w:b/>
        </w:rPr>
        <w:t>чем  3</w:t>
      </w:r>
      <w:proofErr w:type="gramEnd"/>
      <w:r w:rsidR="002F6E59" w:rsidRPr="0039519F">
        <w:rPr>
          <w:rFonts w:asciiTheme="minorHAnsi" w:hAnsiTheme="minorHAnsi"/>
          <w:b/>
        </w:rPr>
        <w:t xml:space="preserve"> года.</w:t>
      </w:r>
      <w:r w:rsidRPr="0039519F">
        <w:t>;</w:t>
      </w:r>
    </w:p>
    <w:p w:rsidR="00145D7D" w:rsidRPr="0039519F" w:rsidRDefault="00145D7D" w:rsidP="00145D7D">
      <w:pPr>
        <w:pStyle w:val="ConsPlusNormal"/>
        <w:spacing w:before="220"/>
        <w:ind w:firstLine="540"/>
        <w:jc w:val="both"/>
      </w:pPr>
      <w:r w:rsidRPr="0039519F">
        <w:t>2) баланс электрической мощности, в том числе информация об установленной, располагаемой и рабочей генерирующей мощности</w:t>
      </w:r>
      <w:r w:rsidR="00AF2F69" w:rsidRPr="0039519F">
        <w:rPr>
          <w:rFonts w:eastAsia="Calibri" w:cs="Times New Roman"/>
          <w:b/>
          <w:szCs w:val="22"/>
          <w:lang w:eastAsia="en-US"/>
        </w:rPr>
        <w:t xml:space="preserve"> на период регулирования</w:t>
      </w:r>
      <w:r w:rsidR="00AF2F69" w:rsidRPr="0039519F">
        <w:rPr>
          <w:rFonts w:eastAsia="Calibri" w:cs="Times New Roman"/>
          <w:szCs w:val="22"/>
          <w:lang w:eastAsia="en-US"/>
        </w:rPr>
        <w:t xml:space="preserve"> </w:t>
      </w:r>
      <w:r w:rsidR="00AF2F69" w:rsidRPr="0039519F">
        <w:rPr>
          <w:rFonts w:asciiTheme="minorHAnsi" w:eastAsia="Calibri" w:hAnsiTheme="minorHAnsi" w:cs="Times New Roman"/>
          <w:b/>
          <w:szCs w:val="22"/>
          <w:lang w:eastAsia="en-US"/>
        </w:rPr>
        <w:t>не менее чем  3 года</w:t>
      </w:r>
      <w:r w:rsidRPr="0039519F">
        <w:t>;</w:t>
      </w:r>
    </w:p>
    <w:p w:rsidR="00145D7D" w:rsidRPr="0039519F" w:rsidRDefault="00145D7D" w:rsidP="00145D7D">
      <w:pPr>
        <w:pStyle w:val="ConsPlusNormal"/>
        <w:spacing w:before="220"/>
        <w:ind w:firstLine="540"/>
        <w:jc w:val="both"/>
      </w:pPr>
      <w:r w:rsidRPr="0039519F">
        <w:t xml:space="preserve">3) баланс спроса и предложения в отношении тепловой энергии (для </w:t>
      </w:r>
      <w:bookmarkStart w:id="81" w:name="_GoBack"/>
      <w:bookmarkEnd w:id="81"/>
      <w:r w:rsidRPr="0039519F">
        <w:t>субъектов электроэнергетики, осуществляющих производство электрической и тепловой энергии в режиме комбинированной выработки);</w:t>
      </w:r>
    </w:p>
    <w:p w:rsidR="00145D7D" w:rsidRPr="0039519F" w:rsidRDefault="00145D7D" w:rsidP="00145D7D">
      <w:pPr>
        <w:pStyle w:val="ConsPlusNormal"/>
        <w:spacing w:before="220"/>
        <w:ind w:firstLine="540"/>
        <w:jc w:val="both"/>
      </w:pPr>
      <w:r w:rsidRPr="0039519F">
        <w:t>4) баланс тепловой мощности;</w:t>
      </w:r>
    </w:p>
    <w:p w:rsidR="00145D7D" w:rsidRPr="0039519F" w:rsidRDefault="00145D7D" w:rsidP="00145D7D">
      <w:pPr>
        <w:pStyle w:val="ConsPlusNormal"/>
        <w:spacing w:before="220"/>
        <w:ind w:firstLine="540"/>
        <w:jc w:val="both"/>
      </w:pPr>
      <w:r w:rsidRPr="0039519F">
        <w:t>5) бухгалтерская и статистическая отчетность за предшествующий период регулирования;</w:t>
      </w:r>
    </w:p>
    <w:p w:rsidR="00145D7D" w:rsidRPr="0039519F" w:rsidRDefault="00145D7D" w:rsidP="00145D7D">
      <w:pPr>
        <w:pStyle w:val="ConsPlusNormal"/>
        <w:spacing w:before="220"/>
        <w:ind w:firstLine="540"/>
        <w:jc w:val="both"/>
      </w:pPr>
      <w:r w:rsidRPr="0039519F">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145D7D" w:rsidRPr="0039519F" w:rsidRDefault="00145D7D" w:rsidP="00145D7D">
      <w:pPr>
        <w:pStyle w:val="ConsPlusNormal"/>
        <w:spacing w:before="220"/>
        <w:ind w:firstLine="540"/>
        <w:jc w:val="both"/>
      </w:pPr>
      <w:r w:rsidRPr="0039519F">
        <w:t>7) данные о структуре и ценах потребляемого топлива с учетом перевозки;</w:t>
      </w:r>
    </w:p>
    <w:p w:rsidR="00145D7D" w:rsidRPr="0039519F" w:rsidRDefault="00145D7D" w:rsidP="00145D7D">
      <w:pPr>
        <w:pStyle w:val="ConsPlusNormal"/>
        <w:spacing w:before="220"/>
        <w:ind w:firstLine="540"/>
        <w:jc w:val="both"/>
      </w:pPr>
      <w:r w:rsidRPr="0039519F">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11" w:history="1">
        <w:r w:rsidRPr="0039519F">
          <w:t>методическими указаниями</w:t>
        </w:r>
      </w:hyperlink>
      <w:r w:rsidRPr="0039519F">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145D7D" w:rsidRPr="0039519F" w:rsidRDefault="00145D7D" w:rsidP="00145D7D">
      <w:pPr>
        <w:pStyle w:val="ConsPlusNormal"/>
        <w:jc w:val="both"/>
      </w:pPr>
      <w:r w:rsidRPr="0039519F">
        <w:t xml:space="preserve">(в ред. Постановлений Правительства РФ от 11.06.2014 </w:t>
      </w:r>
      <w:hyperlink r:id="rId12" w:history="1">
        <w:r w:rsidRPr="0039519F">
          <w:t>N 542</w:t>
        </w:r>
      </w:hyperlink>
      <w:r w:rsidRPr="0039519F">
        <w:t xml:space="preserve">, от 04.09.2015 </w:t>
      </w:r>
      <w:hyperlink r:id="rId13" w:history="1">
        <w:r w:rsidRPr="0039519F">
          <w:t>N 941</w:t>
        </w:r>
      </w:hyperlink>
      <w:r w:rsidRPr="0039519F">
        <w:t>)</w:t>
      </w:r>
    </w:p>
    <w:p w:rsidR="00145D7D" w:rsidRPr="0039519F" w:rsidRDefault="00145D7D" w:rsidP="00145D7D">
      <w:pPr>
        <w:pStyle w:val="ConsPlusNormal"/>
        <w:spacing w:before="220"/>
        <w:ind w:firstLine="540"/>
        <w:jc w:val="both"/>
      </w:pPr>
      <w:r w:rsidRPr="0039519F">
        <w:t>9) расчет тарифов на отдельные услуги, оказываемые на рынках электрической и тепловой энергии</w:t>
      </w:r>
      <w:r w:rsidR="00AF2F69" w:rsidRPr="0039519F">
        <w:t xml:space="preserve"> </w:t>
      </w:r>
      <w:r w:rsidR="00AF2F69" w:rsidRPr="0039519F">
        <w:rPr>
          <w:b/>
        </w:rPr>
        <w:t>на следующий период регулирования</w:t>
      </w:r>
      <w:r w:rsidRPr="0039519F">
        <w:t>;</w:t>
      </w:r>
    </w:p>
    <w:p w:rsidR="00145D7D" w:rsidRPr="0039519F" w:rsidRDefault="00145D7D" w:rsidP="00145D7D">
      <w:pPr>
        <w:pStyle w:val="ConsPlusNormal"/>
        <w:spacing w:before="220"/>
        <w:ind w:firstLine="540"/>
        <w:jc w:val="both"/>
      </w:pPr>
      <w:r w:rsidRPr="0039519F">
        <w:t xml:space="preserve">10) инвестиционная программа (проект инвестиционной программы) с обоснованием </w:t>
      </w:r>
      <w:r w:rsidRPr="0039519F">
        <w:lastRenderedPageBreak/>
        <w:t>потребности в средствах, необходимых для прямого финансирования и обслуживания заемного капитала;</w:t>
      </w:r>
    </w:p>
    <w:p w:rsidR="00145D7D" w:rsidRPr="0039519F" w:rsidRDefault="00145D7D" w:rsidP="00145D7D">
      <w:pPr>
        <w:pStyle w:val="ConsPlusNormal"/>
        <w:spacing w:before="220"/>
        <w:ind w:firstLine="540"/>
        <w:jc w:val="both"/>
      </w:pPr>
      <w:r w:rsidRPr="0039519F">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145D7D" w:rsidRPr="0039519F" w:rsidRDefault="00145D7D" w:rsidP="00145D7D">
      <w:pPr>
        <w:pStyle w:val="ConsPlusNormal"/>
        <w:spacing w:before="220"/>
        <w:ind w:firstLine="540"/>
        <w:jc w:val="both"/>
      </w:pPr>
      <w:r w:rsidRPr="0039519F">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145D7D" w:rsidRPr="0039519F" w:rsidRDefault="00145D7D" w:rsidP="00145D7D">
      <w:pPr>
        <w:pStyle w:val="ConsPlusNormal"/>
        <w:jc w:val="both"/>
      </w:pPr>
      <w:r w:rsidRPr="0039519F">
        <w:t xml:space="preserve">(в ред. </w:t>
      </w:r>
      <w:hyperlink r:id="rId14" w:history="1">
        <w:r w:rsidRPr="0039519F">
          <w:t>Постановления</w:t>
        </w:r>
      </w:hyperlink>
      <w:r w:rsidRPr="0039519F">
        <w:t xml:space="preserve"> Правительства РФ от 04.05.2012 N 442)</w:t>
      </w:r>
    </w:p>
    <w:p w:rsidR="00145D7D" w:rsidRPr="0039519F" w:rsidRDefault="00145D7D" w:rsidP="00145D7D">
      <w:pPr>
        <w:pStyle w:val="ConsPlusNormal"/>
        <w:spacing w:before="220"/>
        <w:ind w:firstLine="540"/>
        <w:jc w:val="both"/>
      </w:pPr>
      <w:r w:rsidRPr="0039519F">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w:t>
      </w:r>
    </w:p>
    <w:p w:rsidR="00145D7D" w:rsidRPr="0039519F" w:rsidRDefault="00145D7D" w:rsidP="00145D7D">
      <w:pPr>
        <w:pStyle w:val="ConsPlusNormal"/>
        <w:jc w:val="both"/>
      </w:pPr>
      <w:r w:rsidRPr="0039519F">
        <w:t xml:space="preserve">(в ред. Постановлений Правительства РФ от 13.02.2015 </w:t>
      </w:r>
      <w:hyperlink r:id="rId15" w:history="1">
        <w:r w:rsidRPr="0039519F">
          <w:t>N 120</w:t>
        </w:r>
      </w:hyperlink>
      <w:r w:rsidRPr="0039519F">
        <w:t xml:space="preserve">, от 27.12.2019 </w:t>
      </w:r>
      <w:hyperlink r:id="rId16" w:history="1">
        <w:r w:rsidRPr="0039519F">
          <w:t>N 1892</w:t>
        </w:r>
      </w:hyperlink>
      <w:r w:rsidRPr="0039519F">
        <w:t>)</w:t>
      </w:r>
    </w:p>
    <w:p w:rsidR="00145D7D" w:rsidRPr="0039519F" w:rsidRDefault="00145D7D" w:rsidP="00145D7D">
      <w:pPr>
        <w:pStyle w:val="ConsPlusNormal"/>
        <w:spacing w:before="220"/>
        <w:ind w:firstLine="540"/>
        <w:jc w:val="both"/>
      </w:pPr>
      <w:r w:rsidRPr="0039519F">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145D7D" w:rsidRPr="0039519F" w:rsidRDefault="00145D7D" w:rsidP="00145D7D">
      <w:pPr>
        <w:pStyle w:val="ConsPlusNormal"/>
        <w:spacing w:before="220"/>
        <w:ind w:firstLine="540"/>
        <w:jc w:val="both"/>
      </w:pPr>
      <w:r w:rsidRPr="0039519F">
        <w:t>договор, регулирующий условия установки прибора учета электрической энергии, заключенный между потребителем услуг и сетевой организацией;</w:t>
      </w:r>
    </w:p>
    <w:p w:rsidR="00145D7D" w:rsidRPr="0039519F" w:rsidRDefault="00145D7D" w:rsidP="00145D7D">
      <w:pPr>
        <w:pStyle w:val="ConsPlusNormal"/>
        <w:spacing w:before="220"/>
        <w:ind w:firstLine="540"/>
        <w:jc w:val="both"/>
      </w:pPr>
      <w:r w:rsidRPr="0039519F">
        <w:t>вступившее в законную силу решение суда о принудительном взыскании расходов, связанных с установкой прибора учета электрической энергии;</w:t>
      </w:r>
    </w:p>
    <w:p w:rsidR="00145D7D" w:rsidRPr="0039519F" w:rsidRDefault="00145D7D" w:rsidP="00145D7D">
      <w:pPr>
        <w:pStyle w:val="ConsPlusNormal"/>
        <w:jc w:val="both"/>
      </w:pPr>
      <w:r w:rsidRPr="0039519F">
        <w:t>(</w:t>
      </w:r>
      <w:proofErr w:type="spellStart"/>
      <w:r w:rsidRPr="0039519F">
        <w:t>пп</w:t>
      </w:r>
      <w:proofErr w:type="spellEnd"/>
      <w:r w:rsidRPr="0039519F">
        <w:t xml:space="preserve">. 14 введен </w:t>
      </w:r>
      <w:hyperlink r:id="rId17" w:history="1">
        <w:r w:rsidRPr="0039519F">
          <w:t>Постановлением</w:t>
        </w:r>
      </w:hyperlink>
      <w:r w:rsidRPr="0039519F">
        <w:t xml:space="preserve"> Правительства РФ от 04.05.2012 N 442)</w:t>
      </w:r>
    </w:p>
    <w:p w:rsidR="00145D7D" w:rsidRPr="0039519F" w:rsidRDefault="00145D7D" w:rsidP="00145D7D">
      <w:pPr>
        <w:pStyle w:val="ConsPlusNormal"/>
        <w:spacing w:before="220"/>
        <w:ind w:firstLine="540"/>
        <w:jc w:val="both"/>
      </w:pPr>
      <w:r w:rsidRPr="0039519F">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rsidR="00145D7D" w:rsidRPr="0039519F" w:rsidRDefault="00145D7D" w:rsidP="00145D7D">
      <w:pPr>
        <w:pStyle w:val="ConsPlusNormal"/>
        <w:jc w:val="both"/>
      </w:pPr>
      <w:r w:rsidRPr="0039519F">
        <w:t>(</w:t>
      </w:r>
      <w:proofErr w:type="spellStart"/>
      <w:r w:rsidRPr="0039519F">
        <w:t>пп</w:t>
      </w:r>
      <w:proofErr w:type="spellEnd"/>
      <w:r w:rsidRPr="0039519F">
        <w:t xml:space="preserve">. 15 введен </w:t>
      </w:r>
      <w:hyperlink r:id="rId18" w:history="1">
        <w:r w:rsidRPr="0039519F">
          <w:t>Постановлением</w:t>
        </w:r>
      </w:hyperlink>
      <w:r w:rsidRPr="0039519F">
        <w:t xml:space="preserve"> Правительства РФ от 28.02.2015 N 184; в ред. </w:t>
      </w:r>
      <w:hyperlink r:id="rId19" w:history="1">
        <w:r w:rsidRPr="0039519F">
          <w:t>Постановления</w:t>
        </w:r>
      </w:hyperlink>
      <w:r w:rsidRPr="0039519F">
        <w:t xml:space="preserve"> Правительства РФ от 20.01.2017 N 44)</w:t>
      </w:r>
    </w:p>
    <w:p w:rsidR="00145D7D" w:rsidRPr="0039519F" w:rsidRDefault="00145D7D" w:rsidP="00145D7D">
      <w:pPr>
        <w:pStyle w:val="ConsPlusNormal"/>
        <w:spacing w:before="220"/>
        <w:ind w:firstLine="540"/>
        <w:jc w:val="both"/>
      </w:pPr>
      <w:r w:rsidRPr="0039519F">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20" w:history="1">
        <w:r w:rsidRPr="0039519F">
          <w:t>пунктах 1</w:t>
        </w:r>
      </w:hyperlink>
      <w:r w:rsidRPr="0039519F">
        <w:t xml:space="preserve"> и </w:t>
      </w:r>
      <w:hyperlink r:id="rId21" w:history="1">
        <w:r w:rsidRPr="0039519F">
          <w:t>2</w:t>
        </w:r>
      </w:hyperlink>
      <w:r w:rsidRPr="0039519F">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w:t>
      </w:r>
    </w:p>
    <w:p w:rsidR="00145D7D" w:rsidRPr="0039519F" w:rsidRDefault="00145D7D" w:rsidP="00145D7D">
      <w:pPr>
        <w:pStyle w:val="ConsPlusNormal"/>
        <w:jc w:val="both"/>
      </w:pPr>
      <w:r w:rsidRPr="0039519F">
        <w:t>(</w:t>
      </w:r>
      <w:proofErr w:type="spellStart"/>
      <w:r w:rsidRPr="0039519F">
        <w:t>пп</w:t>
      </w:r>
      <w:proofErr w:type="spellEnd"/>
      <w:r w:rsidRPr="0039519F">
        <w:t xml:space="preserve">. 16 введен </w:t>
      </w:r>
      <w:hyperlink r:id="rId22" w:history="1">
        <w:r w:rsidRPr="0039519F">
          <w:t>Постановлением</w:t>
        </w:r>
      </w:hyperlink>
      <w:r w:rsidRPr="0039519F">
        <w:t xml:space="preserve"> Правительства РФ от 17.10.2016 N 1056)</w:t>
      </w:r>
    </w:p>
    <w:p w:rsidR="00145D7D" w:rsidRPr="0039519F" w:rsidRDefault="00145D7D" w:rsidP="00145D7D">
      <w:pPr>
        <w:pStyle w:val="ConsPlusNormal"/>
        <w:spacing w:before="220"/>
        <w:ind w:firstLine="540"/>
        <w:jc w:val="both"/>
      </w:pPr>
      <w:r w:rsidRPr="0039519F">
        <w:lastRenderedPageBreak/>
        <w:t xml:space="preserve">17) заявления и обосновывающие материалы, указанные в </w:t>
      </w:r>
      <w:hyperlink r:id="rId23" w:history="1">
        <w:r w:rsidRPr="0039519F">
          <w:t>пункте 6(1)</w:t>
        </w:r>
      </w:hyperlink>
      <w:r w:rsidRPr="0039519F">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в случае их поступления в территориальную сетевую организацию от собственников или иных законных владельцев объектов электросетевого хозяйства, которые имеют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145D7D" w:rsidRPr="0039519F" w:rsidRDefault="00145D7D" w:rsidP="00145D7D">
      <w:pPr>
        <w:pStyle w:val="ConsPlusNormal"/>
        <w:jc w:val="both"/>
      </w:pPr>
      <w:r w:rsidRPr="0039519F">
        <w:t>(</w:t>
      </w:r>
      <w:proofErr w:type="spellStart"/>
      <w:r w:rsidRPr="0039519F">
        <w:t>пп</w:t>
      </w:r>
      <w:proofErr w:type="spellEnd"/>
      <w:r w:rsidRPr="0039519F">
        <w:t xml:space="preserve">. 17 введен </w:t>
      </w:r>
      <w:hyperlink r:id="rId24" w:history="1">
        <w:r w:rsidRPr="0039519F">
          <w:t>Постановлением</w:t>
        </w:r>
      </w:hyperlink>
      <w:r w:rsidRPr="0039519F">
        <w:t xml:space="preserve"> Правительства РФ от 26.12.2019 N 1857)</w:t>
      </w:r>
    </w:p>
    <w:p w:rsidR="00145D7D" w:rsidRPr="0039519F" w:rsidRDefault="00145D7D" w:rsidP="00145D7D">
      <w:pPr>
        <w:pStyle w:val="ConsPlusNormal"/>
        <w:spacing w:before="220"/>
        <w:ind w:firstLine="540"/>
        <w:jc w:val="both"/>
      </w:pPr>
      <w:r w:rsidRPr="0039519F">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2520" w:history="1">
        <w:r w:rsidRPr="0039519F">
          <w:t>подпунктами 5</w:t>
        </w:r>
      </w:hyperlink>
      <w:r w:rsidRPr="0039519F">
        <w:t xml:space="preserve">, </w:t>
      </w:r>
      <w:hyperlink w:anchor="P2530" w:history="1">
        <w:r w:rsidRPr="0039519F">
          <w:t>13</w:t>
        </w:r>
      </w:hyperlink>
      <w:r w:rsidRPr="0039519F">
        <w:t xml:space="preserve">, </w:t>
      </w:r>
      <w:hyperlink w:anchor="P2532" w:history="1">
        <w:r w:rsidRPr="0039519F">
          <w:t>14 пункта 17</w:t>
        </w:r>
      </w:hyperlink>
      <w:r w:rsidRPr="0039519F">
        <w:t xml:space="preserve"> настоящих Правил в отношении реорганизованной организации (реорганизованных организаций).</w:t>
      </w:r>
    </w:p>
    <w:p w:rsidR="00145D7D" w:rsidRPr="0039519F" w:rsidRDefault="00145D7D" w:rsidP="00145D7D">
      <w:pPr>
        <w:pStyle w:val="ConsPlusNormal"/>
        <w:spacing w:before="220"/>
        <w:ind w:firstLine="540"/>
        <w:jc w:val="both"/>
      </w:pPr>
      <w:r w:rsidRPr="0039519F">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145D7D" w:rsidRPr="0039519F" w:rsidRDefault="00145D7D" w:rsidP="00145D7D">
      <w:pPr>
        <w:pStyle w:val="ConsPlusNormal"/>
        <w:jc w:val="both"/>
      </w:pPr>
      <w:r w:rsidRPr="0039519F">
        <w:t xml:space="preserve">(п. 17(1) введен </w:t>
      </w:r>
      <w:hyperlink r:id="rId25" w:history="1">
        <w:r w:rsidRPr="0039519F">
          <w:t>Постановлением</w:t>
        </w:r>
      </w:hyperlink>
      <w:r w:rsidRPr="0039519F">
        <w:t xml:space="preserve"> Правительства РФ от 13.02.2015 N 120)</w:t>
      </w:r>
    </w:p>
    <w:p w:rsidR="00145D7D" w:rsidRPr="0039519F" w:rsidRDefault="00145D7D" w:rsidP="00906E67">
      <w:pPr>
        <w:pStyle w:val="a4"/>
        <w:tabs>
          <w:tab w:val="left" w:pos="1134"/>
        </w:tabs>
        <w:ind w:left="0" w:firstLine="709"/>
        <w:jc w:val="both"/>
        <w:rPr>
          <w:rFonts w:asciiTheme="minorHAnsi" w:hAnsiTheme="minorHAnsi"/>
          <w:highlight w:val="yellow"/>
        </w:rPr>
      </w:pPr>
    </w:p>
    <w:p w:rsidR="008145C0" w:rsidRPr="0039519F" w:rsidRDefault="008145C0">
      <w:pPr>
        <w:pStyle w:val="ConsPlusNormal"/>
        <w:ind w:firstLine="540"/>
        <w:jc w:val="both"/>
      </w:pPr>
    </w:p>
    <w:p w:rsidR="008145C0" w:rsidRPr="0039519F" w:rsidRDefault="008145C0">
      <w:pPr>
        <w:pStyle w:val="ConsPlusNormal"/>
        <w:ind w:firstLine="540"/>
        <w:jc w:val="both"/>
      </w:pPr>
    </w:p>
    <w:p w:rsidR="00FD108F" w:rsidRPr="0039519F" w:rsidRDefault="00FD108F">
      <w:bookmarkStart w:id="82" w:name="P2417"/>
      <w:bookmarkStart w:id="83" w:name="P2436"/>
      <w:bookmarkStart w:id="84" w:name="P2450"/>
      <w:bookmarkStart w:id="85" w:name="P2470"/>
      <w:bookmarkStart w:id="86" w:name="P2476"/>
      <w:bookmarkStart w:id="87" w:name="P2480"/>
      <w:bookmarkStart w:id="88" w:name="P2482"/>
      <w:bookmarkStart w:id="89" w:name="P2512"/>
      <w:bookmarkStart w:id="90" w:name="P2513"/>
      <w:bookmarkStart w:id="91" w:name="P2515"/>
      <w:bookmarkStart w:id="92" w:name="P2520"/>
      <w:bookmarkStart w:id="93" w:name="P2530"/>
      <w:bookmarkStart w:id="94" w:name="P2532"/>
      <w:bookmarkStart w:id="95" w:name="P2576"/>
      <w:bookmarkStart w:id="96" w:name="P2641"/>
      <w:bookmarkStart w:id="97" w:name="P2657"/>
      <w:bookmarkStart w:id="98" w:name="P2669"/>
      <w:bookmarkStart w:id="99" w:name="P268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sectPr w:rsidR="00FD108F" w:rsidRPr="0039519F" w:rsidSect="001612A0">
      <w:pgSz w:w="11905" w:h="16838"/>
      <w:pgMar w:top="1134" w:right="850"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813AB"/>
    <w:multiLevelType w:val="hybridMultilevel"/>
    <w:tmpl w:val="533EE79C"/>
    <w:lvl w:ilvl="0" w:tplc="04382D44">
      <w:start w:val="1"/>
      <w:numFmt w:val="bullet"/>
      <w:lvlText w:val="•"/>
      <w:lvlJc w:val="left"/>
      <w:pPr>
        <w:tabs>
          <w:tab w:val="num" w:pos="720"/>
        </w:tabs>
        <w:ind w:left="720" w:hanging="360"/>
      </w:pPr>
      <w:rPr>
        <w:rFonts w:ascii="Arial" w:hAnsi="Arial" w:hint="default"/>
      </w:rPr>
    </w:lvl>
    <w:lvl w:ilvl="1" w:tplc="F77E4A70" w:tentative="1">
      <w:start w:val="1"/>
      <w:numFmt w:val="bullet"/>
      <w:lvlText w:val="•"/>
      <w:lvlJc w:val="left"/>
      <w:pPr>
        <w:tabs>
          <w:tab w:val="num" w:pos="1440"/>
        </w:tabs>
        <w:ind w:left="1440" w:hanging="360"/>
      </w:pPr>
      <w:rPr>
        <w:rFonts w:ascii="Arial" w:hAnsi="Arial" w:hint="default"/>
      </w:rPr>
    </w:lvl>
    <w:lvl w:ilvl="2" w:tplc="2D00D374" w:tentative="1">
      <w:start w:val="1"/>
      <w:numFmt w:val="bullet"/>
      <w:lvlText w:val="•"/>
      <w:lvlJc w:val="left"/>
      <w:pPr>
        <w:tabs>
          <w:tab w:val="num" w:pos="2160"/>
        </w:tabs>
        <w:ind w:left="2160" w:hanging="360"/>
      </w:pPr>
      <w:rPr>
        <w:rFonts w:ascii="Arial" w:hAnsi="Arial" w:hint="default"/>
      </w:rPr>
    </w:lvl>
    <w:lvl w:ilvl="3" w:tplc="C4CA0F6C" w:tentative="1">
      <w:start w:val="1"/>
      <w:numFmt w:val="bullet"/>
      <w:lvlText w:val="•"/>
      <w:lvlJc w:val="left"/>
      <w:pPr>
        <w:tabs>
          <w:tab w:val="num" w:pos="2880"/>
        </w:tabs>
        <w:ind w:left="2880" w:hanging="360"/>
      </w:pPr>
      <w:rPr>
        <w:rFonts w:ascii="Arial" w:hAnsi="Arial" w:hint="default"/>
      </w:rPr>
    </w:lvl>
    <w:lvl w:ilvl="4" w:tplc="1500E2A8" w:tentative="1">
      <w:start w:val="1"/>
      <w:numFmt w:val="bullet"/>
      <w:lvlText w:val="•"/>
      <w:lvlJc w:val="left"/>
      <w:pPr>
        <w:tabs>
          <w:tab w:val="num" w:pos="3600"/>
        </w:tabs>
        <w:ind w:left="3600" w:hanging="360"/>
      </w:pPr>
      <w:rPr>
        <w:rFonts w:ascii="Arial" w:hAnsi="Arial" w:hint="default"/>
      </w:rPr>
    </w:lvl>
    <w:lvl w:ilvl="5" w:tplc="DCF67910" w:tentative="1">
      <w:start w:val="1"/>
      <w:numFmt w:val="bullet"/>
      <w:lvlText w:val="•"/>
      <w:lvlJc w:val="left"/>
      <w:pPr>
        <w:tabs>
          <w:tab w:val="num" w:pos="4320"/>
        </w:tabs>
        <w:ind w:left="4320" w:hanging="360"/>
      </w:pPr>
      <w:rPr>
        <w:rFonts w:ascii="Arial" w:hAnsi="Arial" w:hint="default"/>
      </w:rPr>
    </w:lvl>
    <w:lvl w:ilvl="6" w:tplc="CFC2DFF0" w:tentative="1">
      <w:start w:val="1"/>
      <w:numFmt w:val="bullet"/>
      <w:lvlText w:val="•"/>
      <w:lvlJc w:val="left"/>
      <w:pPr>
        <w:tabs>
          <w:tab w:val="num" w:pos="5040"/>
        </w:tabs>
        <w:ind w:left="5040" w:hanging="360"/>
      </w:pPr>
      <w:rPr>
        <w:rFonts w:ascii="Arial" w:hAnsi="Arial" w:hint="default"/>
      </w:rPr>
    </w:lvl>
    <w:lvl w:ilvl="7" w:tplc="9F6EEFF0" w:tentative="1">
      <w:start w:val="1"/>
      <w:numFmt w:val="bullet"/>
      <w:lvlText w:val="•"/>
      <w:lvlJc w:val="left"/>
      <w:pPr>
        <w:tabs>
          <w:tab w:val="num" w:pos="5760"/>
        </w:tabs>
        <w:ind w:left="5760" w:hanging="360"/>
      </w:pPr>
      <w:rPr>
        <w:rFonts w:ascii="Arial" w:hAnsi="Arial" w:hint="default"/>
      </w:rPr>
    </w:lvl>
    <w:lvl w:ilvl="8" w:tplc="7A3CB8E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C0"/>
    <w:rsid w:val="000115A0"/>
    <w:rsid w:val="00031BC1"/>
    <w:rsid w:val="00036593"/>
    <w:rsid w:val="000453FA"/>
    <w:rsid w:val="00063454"/>
    <w:rsid w:val="000F449D"/>
    <w:rsid w:val="00145D7D"/>
    <w:rsid w:val="001612A0"/>
    <w:rsid w:val="0018105F"/>
    <w:rsid w:val="00191328"/>
    <w:rsid w:val="001B7017"/>
    <w:rsid w:val="001C1808"/>
    <w:rsid w:val="001E517C"/>
    <w:rsid w:val="001F51C7"/>
    <w:rsid w:val="001F6404"/>
    <w:rsid w:val="002355FC"/>
    <w:rsid w:val="00262C48"/>
    <w:rsid w:val="002A4D55"/>
    <w:rsid w:val="002A63AA"/>
    <w:rsid w:val="002B561E"/>
    <w:rsid w:val="002D7BFC"/>
    <w:rsid w:val="002F6E59"/>
    <w:rsid w:val="003148F7"/>
    <w:rsid w:val="00322EDC"/>
    <w:rsid w:val="00324B5F"/>
    <w:rsid w:val="00367F4F"/>
    <w:rsid w:val="00385FA4"/>
    <w:rsid w:val="00393DCD"/>
    <w:rsid w:val="0039519F"/>
    <w:rsid w:val="003E3B18"/>
    <w:rsid w:val="003E6BFE"/>
    <w:rsid w:val="00403C36"/>
    <w:rsid w:val="0040460A"/>
    <w:rsid w:val="0040596B"/>
    <w:rsid w:val="00446F33"/>
    <w:rsid w:val="00452B15"/>
    <w:rsid w:val="004738A1"/>
    <w:rsid w:val="00493DC9"/>
    <w:rsid w:val="004D17B4"/>
    <w:rsid w:val="004D4916"/>
    <w:rsid w:val="00523A31"/>
    <w:rsid w:val="0056619E"/>
    <w:rsid w:val="005A3F70"/>
    <w:rsid w:val="005A7C1A"/>
    <w:rsid w:val="005E2F48"/>
    <w:rsid w:val="005F436B"/>
    <w:rsid w:val="00603810"/>
    <w:rsid w:val="00636140"/>
    <w:rsid w:val="00677517"/>
    <w:rsid w:val="00684F23"/>
    <w:rsid w:val="006869D0"/>
    <w:rsid w:val="006A13CE"/>
    <w:rsid w:val="006B6ADC"/>
    <w:rsid w:val="006F21D3"/>
    <w:rsid w:val="00705485"/>
    <w:rsid w:val="007469F5"/>
    <w:rsid w:val="007562E5"/>
    <w:rsid w:val="00782EB8"/>
    <w:rsid w:val="00793361"/>
    <w:rsid w:val="007A55F3"/>
    <w:rsid w:val="007B643D"/>
    <w:rsid w:val="008145C0"/>
    <w:rsid w:val="00827D0E"/>
    <w:rsid w:val="00827E1A"/>
    <w:rsid w:val="00832B71"/>
    <w:rsid w:val="00860113"/>
    <w:rsid w:val="008627C8"/>
    <w:rsid w:val="00862F8B"/>
    <w:rsid w:val="00895B32"/>
    <w:rsid w:val="008970AE"/>
    <w:rsid w:val="008A42E0"/>
    <w:rsid w:val="009012A1"/>
    <w:rsid w:val="00906E67"/>
    <w:rsid w:val="00913470"/>
    <w:rsid w:val="0093735E"/>
    <w:rsid w:val="0094772F"/>
    <w:rsid w:val="009615B0"/>
    <w:rsid w:val="009B5BFD"/>
    <w:rsid w:val="009E1668"/>
    <w:rsid w:val="009F73F1"/>
    <w:rsid w:val="00A2729A"/>
    <w:rsid w:val="00A27BF8"/>
    <w:rsid w:val="00AC4861"/>
    <w:rsid w:val="00AD20BB"/>
    <w:rsid w:val="00AF2F69"/>
    <w:rsid w:val="00AF70B2"/>
    <w:rsid w:val="00B16952"/>
    <w:rsid w:val="00B4204B"/>
    <w:rsid w:val="00B45F42"/>
    <w:rsid w:val="00BC2D3A"/>
    <w:rsid w:val="00C17470"/>
    <w:rsid w:val="00C32C04"/>
    <w:rsid w:val="00C474CB"/>
    <w:rsid w:val="00C559BA"/>
    <w:rsid w:val="00C62812"/>
    <w:rsid w:val="00C94453"/>
    <w:rsid w:val="00CA0762"/>
    <w:rsid w:val="00CC4541"/>
    <w:rsid w:val="00CC6399"/>
    <w:rsid w:val="00CD2392"/>
    <w:rsid w:val="00CF7FB5"/>
    <w:rsid w:val="00D305F4"/>
    <w:rsid w:val="00D357A9"/>
    <w:rsid w:val="00D45D1C"/>
    <w:rsid w:val="00D66332"/>
    <w:rsid w:val="00D80AF6"/>
    <w:rsid w:val="00DA6483"/>
    <w:rsid w:val="00E00B4D"/>
    <w:rsid w:val="00E03A34"/>
    <w:rsid w:val="00E4637B"/>
    <w:rsid w:val="00EC2506"/>
    <w:rsid w:val="00EC526F"/>
    <w:rsid w:val="00EC63DB"/>
    <w:rsid w:val="00F21A6C"/>
    <w:rsid w:val="00F5025F"/>
    <w:rsid w:val="00F57EA7"/>
    <w:rsid w:val="00F61105"/>
    <w:rsid w:val="00F62992"/>
    <w:rsid w:val="00F66D1D"/>
    <w:rsid w:val="00F675AB"/>
    <w:rsid w:val="00F913B0"/>
    <w:rsid w:val="00F95392"/>
    <w:rsid w:val="00FD1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8401F-D7C6-4B70-943D-86068560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99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145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145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45C0"/>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semiHidden/>
    <w:unhideWhenUsed/>
    <w:rsid w:val="00F6299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F62992"/>
    <w:pPr>
      <w:spacing w:after="160" w:line="259" w:lineRule="auto"/>
      <w:ind w:left="720"/>
      <w:contextualSpacing/>
    </w:pPr>
  </w:style>
  <w:style w:type="table" w:styleId="a5">
    <w:name w:val="Table Grid"/>
    <w:basedOn w:val="a1"/>
    <w:uiPriority w:val="59"/>
    <w:rsid w:val="004D17B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65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6593"/>
    <w:rPr>
      <w:rFonts w:ascii="Tahoma" w:eastAsia="Calibri" w:hAnsi="Tahoma" w:cs="Tahoma"/>
      <w:sz w:val="16"/>
      <w:szCs w:val="16"/>
    </w:rPr>
  </w:style>
  <w:style w:type="character" w:styleId="a8">
    <w:name w:val="annotation reference"/>
    <w:basedOn w:val="a0"/>
    <w:uiPriority w:val="99"/>
    <w:semiHidden/>
    <w:unhideWhenUsed/>
    <w:rsid w:val="00036593"/>
    <w:rPr>
      <w:sz w:val="16"/>
      <w:szCs w:val="16"/>
    </w:rPr>
  </w:style>
  <w:style w:type="paragraph" w:styleId="a9">
    <w:name w:val="annotation text"/>
    <w:basedOn w:val="a"/>
    <w:link w:val="aa"/>
    <w:uiPriority w:val="99"/>
    <w:semiHidden/>
    <w:unhideWhenUsed/>
    <w:rsid w:val="00036593"/>
    <w:pPr>
      <w:spacing w:line="240" w:lineRule="auto"/>
    </w:pPr>
    <w:rPr>
      <w:sz w:val="20"/>
      <w:szCs w:val="20"/>
    </w:rPr>
  </w:style>
  <w:style w:type="character" w:customStyle="1" w:styleId="aa">
    <w:name w:val="Текст примечания Знак"/>
    <w:basedOn w:val="a0"/>
    <w:link w:val="a9"/>
    <w:uiPriority w:val="99"/>
    <w:semiHidden/>
    <w:rsid w:val="00036593"/>
    <w:rPr>
      <w:rFonts w:ascii="Calibri" w:eastAsia="Calibri" w:hAnsi="Calibri" w:cs="Times New Roman"/>
      <w:sz w:val="20"/>
      <w:szCs w:val="20"/>
    </w:rPr>
  </w:style>
  <w:style w:type="paragraph" w:styleId="ab">
    <w:name w:val="annotation subject"/>
    <w:basedOn w:val="a9"/>
    <w:next w:val="a9"/>
    <w:link w:val="ac"/>
    <w:uiPriority w:val="99"/>
    <w:semiHidden/>
    <w:unhideWhenUsed/>
    <w:rsid w:val="00036593"/>
    <w:rPr>
      <w:b/>
      <w:bCs/>
    </w:rPr>
  </w:style>
  <w:style w:type="character" w:customStyle="1" w:styleId="ac">
    <w:name w:val="Тема примечания Знак"/>
    <w:basedOn w:val="aa"/>
    <w:link w:val="ab"/>
    <w:uiPriority w:val="99"/>
    <w:semiHidden/>
    <w:rsid w:val="00036593"/>
    <w:rPr>
      <w:rFonts w:ascii="Calibri" w:eastAsia="Calibri" w:hAnsi="Calibri" w:cs="Times New Roman"/>
      <w:b/>
      <w:bCs/>
      <w:sz w:val="20"/>
      <w:szCs w:val="20"/>
    </w:rPr>
  </w:style>
  <w:style w:type="paragraph" w:customStyle="1" w:styleId="ConsPlusDocList">
    <w:name w:val="ConsPlusDocList"/>
    <w:rsid w:val="009E1668"/>
    <w:pPr>
      <w:widowControl w:val="0"/>
      <w:autoSpaceDE w:val="0"/>
      <w:autoSpaceDN w:val="0"/>
      <w:spacing w:after="0" w:line="240" w:lineRule="auto"/>
    </w:pPr>
    <w:rPr>
      <w:rFonts w:ascii="Calibri" w:eastAsia="Times New Roman" w:hAnsi="Calibri" w:cs="Calibri"/>
      <w:szCs w:val="20"/>
      <w:lang w:eastAsia="ru-RU"/>
    </w:rPr>
  </w:style>
  <w:style w:type="character" w:styleId="ad">
    <w:name w:val="Hyperlink"/>
    <w:basedOn w:val="a0"/>
    <w:uiPriority w:val="99"/>
    <w:unhideWhenUsed/>
    <w:rsid w:val="00827E1A"/>
    <w:rPr>
      <w:strike w:val="0"/>
      <w:dstrike w:val="0"/>
      <w:color w:val="3272C0"/>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9C3173C107DA75608D2E6FCB5A92503AFFA3CD63A0F311ED8C04BF19638A3B8BAD28685FE28CBC4EB1DF55B719F0F743949B4702CEF75oEB0N" TargetMode="External"/><Relationship Id="rId13" Type="http://schemas.openxmlformats.org/officeDocument/2006/relationships/hyperlink" Target="consultantplus://offline/ref=5E69C3173C107DA75608D2E6FCB5A92503AFFA3CD63A0F311ED8C04BF19638A3B8BAD28685FE28CBC4EB1DF55B719F0F743949B4702CEF75oEB0N" TargetMode="External"/><Relationship Id="rId18" Type="http://schemas.openxmlformats.org/officeDocument/2006/relationships/hyperlink" Target="consultantplus://offline/ref=5E69C3173C107DA75608D2E6FCB5A92502ADFB3DD83F0F311ED8C04BF19638A3B8BAD28685FE2ACFCCEB1DF55B719F0F743949B4702CEF75oEB0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E69C3173C107DA75608D2E6FCB5A92502ADFB3DD83F0F311ED8C04BF19638A3B8BAD28685FE2ACDC5EB1DF55B719F0F743949B4702CEF75oEB0N" TargetMode="External"/><Relationship Id="rId7" Type="http://schemas.openxmlformats.org/officeDocument/2006/relationships/hyperlink" Target="consultantplus://offline/ref=5E69C3173C107DA75608D2E6FCB5A92503ACF938D33C0F311ED8C04BF19638A3B8BAD28685FE2FC4CBEB1DF55B719F0F743949B4702CEF75oEB0N" TargetMode="External"/><Relationship Id="rId12" Type="http://schemas.openxmlformats.org/officeDocument/2006/relationships/hyperlink" Target="consultantplus://offline/ref=5E69C3173C107DA75608D2E6FCB5A92501ABF93FD93B0F311ED8C04BF19638A3B8BAD28685FE2AC5C8EB1DF55B719F0F743949B4702CEF75oEB0N" TargetMode="External"/><Relationship Id="rId17" Type="http://schemas.openxmlformats.org/officeDocument/2006/relationships/hyperlink" Target="consultantplus://offline/ref=5E69C3173C107DA75608D2E6FCB5A92503A9FF3BD43B0F311ED8C04BF19638A3B8BAD28685FC2ACCCEEB1DF55B719F0F743949B4702CEF75oEB0N" TargetMode="External"/><Relationship Id="rId25" Type="http://schemas.openxmlformats.org/officeDocument/2006/relationships/hyperlink" Target="consultantplus://offline/ref=5E69C3173C107DA75608D2E6FCB5A92501AAF83ED93C0F311ED8C04BF19638A3B8BAD28685FE2ACECEEB1DF55B719F0F743949B4702CEF75oEB0N" TargetMode="External"/><Relationship Id="rId2" Type="http://schemas.openxmlformats.org/officeDocument/2006/relationships/numbering" Target="numbering.xml"/><Relationship Id="rId16" Type="http://schemas.openxmlformats.org/officeDocument/2006/relationships/hyperlink" Target="consultantplus://offline/ref=5E69C3173C107DA75608D2E6FCB5A92503A9FF3DD73D0F311ED8C04BF19638A3B8BAD28685FE2AC9C9EB1DF55B719F0F743949B4702CEF75oEB0N" TargetMode="External"/><Relationship Id="rId20" Type="http://schemas.openxmlformats.org/officeDocument/2006/relationships/hyperlink" Target="consultantplus://offline/ref=5E69C3173C107DA75608D2E6FCB5A92502ADFB3DD83F0F311ED8C04BF19638A3B8BAD28685FE2ACDC4EB1DF55B719F0F743949B4702CEF75oEB0N" TargetMode="External"/><Relationship Id="rId1" Type="http://schemas.openxmlformats.org/officeDocument/2006/relationships/customXml" Target="../customXml/item1.xml"/><Relationship Id="rId6" Type="http://schemas.openxmlformats.org/officeDocument/2006/relationships/hyperlink" Target="consultantplus://offline/ref=505B9E2F462E8F8FD31AD366B757E7C7B1D57FFD0CA49915CB87D345AACDA52604392CC5E9CFB99F1BF17F52A7n3B3N" TargetMode="External"/><Relationship Id="rId11" Type="http://schemas.openxmlformats.org/officeDocument/2006/relationships/hyperlink" Target="consultantplus://offline/ref=5E69C3173C107DA75608D2E6FCB5A92503ADFD39D0380F311ED8C04BF19638A3B8BAD28685FE2ACDCCEB1DF55B719F0F743949B4702CEF75oEB0N" TargetMode="External"/><Relationship Id="rId24" Type="http://schemas.openxmlformats.org/officeDocument/2006/relationships/hyperlink" Target="consultantplus://offline/ref=5E69C3173C107DA75608D2E6FCB5A92503A9FC3AD23E0F311ED8C04BF19638A3B8BAD28685FE2AC8C4EB1DF55B719F0F743949B4702CEF75oEB0N" TargetMode="External"/><Relationship Id="rId5" Type="http://schemas.openxmlformats.org/officeDocument/2006/relationships/webSettings" Target="webSettings.xml"/><Relationship Id="rId15" Type="http://schemas.openxmlformats.org/officeDocument/2006/relationships/hyperlink" Target="consultantplus://offline/ref=5E69C3173C107DA75608D2E6FCB5A92501AAF83ED93C0F311ED8C04BF19638A3B8BAD28685FE2ACECDEB1DF55B719F0F743949B4702CEF75oEB0N" TargetMode="External"/><Relationship Id="rId23" Type="http://schemas.openxmlformats.org/officeDocument/2006/relationships/hyperlink" Target="consultantplus://offline/ref=5E69C3173C107DA75608D2E6FCB5A92503A9FF3CD23C0F311ED8C04BF19638A3B8BAD28685FF2ECDCDEB1DF55B719F0F743949B4702CEF75oEB0N" TargetMode="External"/><Relationship Id="rId10" Type="http://schemas.openxmlformats.org/officeDocument/2006/relationships/hyperlink" Target="consultantplus://offline/ref=5E69C3173C107DA75608D2E6FCB5A92503ACF938D33C0F311ED8C04BF19638A3B8BAD28685FE2FC4C5EB1DF55B719F0F743949B4702CEF75oEB0N" TargetMode="External"/><Relationship Id="rId19" Type="http://schemas.openxmlformats.org/officeDocument/2006/relationships/hyperlink" Target="consultantplus://offline/ref=5E69C3173C107DA75608D2E6FCB5A92502ACFC3ED73C0F311ED8C04BF19638A3B8BAD28685FE2ACDCCEB1DF55B719F0F743949B4702CEF75oEB0N" TargetMode="External"/><Relationship Id="rId4" Type="http://schemas.openxmlformats.org/officeDocument/2006/relationships/settings" Target="settings.xml"/><Relationship Id="rId9" Type="http://schemas.openxmlformats.org/officeDocument/2006/relationships/hyperlink" Target="consultantplus://offline/ref=5E69C3173C107DA75608D2E6FCB5A92503ACF938D33C0F311ED8C04BF19638A3B8BAD28685FE2ACECBEB1DF55B719F0F743949B4702CEF75oEB0N" TargetMode="External"/><Relationship Id="rId14" Type="http://schemas.openxmlformats.org/officeDocument/2006/relationships/hyperlink" Target="consultantplus://offline/ref=5E69C3173C107DA75608D2E6FCB5A92503A9FF3BD43B0F311ED8C04BF19638A3B8BAD28685FC2ACCCDEB1DF55B719F0F743949B4702CEF75oEB0N" TargetMode="External"/><Relationship Id="rId22" Type="http://schemas.openxmlformats.org/officeDocument/2006/relationships/hyperlink" Target="consultantplus://offline/ref=5E69C3173C107DA75608D2E6FCB5A92502ADFB3DD6310F311ED8C04BF19638A3B8BAD28685FE2ACDC8EB1DF55B719F0F743949B4702CEF75oEB0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B3579-197B-4217-93C2-8B9A6E5E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5047</Words>
  <Characters>28772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Здвижкова Елена</dc:creator>
  <cp:lastModifiedBy>Гатауллина Наталья Анатольевна</cp:lastModifiedBy>
  <cp:revision>2</cp:revision>
  <cp:lastPrinted>2020-02-20T12:59:00Z</cp:lastPrinted>
  <dcterms:created xsi:type="dcterms:W3CDTF">2020-03-24T11:28:00Z</dcterms:created>
  <dcterms:modified xsi:type="dcterms:W3CDTF">2020-03-24T11:28:00Z</dcterms:modified>
</cp:coreProperties>
</file>